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D2AD" w14:textId="29E1ACA1" w:rsidR="0077190B" w:rsidRPr="006D40C5" w:rsidRDefault="0077190B" w:rsidP="00AF58E0">
      <w:pPr>
        <w:spacing w:before="130" w:after="0" w:line="260" w:lineRule="exact"/>
        <w:ind w:firstLine="539"/>
        <w:jc w:val="right"/>
        <w:outlineLvl w:val="0"/>
        <w:rPr>
          <w:rFonts w:eastAsia="Calibri" w:cstheme="minorHAnsi"/>
          <w:sz w:val="20"/>
          <w:szCs w:val="20"/>
        </w:rPr>
      </w:pPr>
      <w:r w:rsidRPr="006D40C5">
        <w:rPr>
          <w:rFonts w:cstheme="minorHAnsi"/>
          <w:bCs/>
          <w:sz w:val="20"/>
          <w:szCs w:val="20"/>
        </w:rPr>
        <w:t>3. pielikums</w:t>
      </w:r>
      <w:r w:rsidRPr="006D40C5">
        <w:rPr>
          <w:rFonts w:cstheme="minorHAnsi"/>
          <w:bCs/>
          <w:sz w:val="20"/>
          <w:szCs w:val="20"/>
        </w:rPr>
        <w:br/>
        <w:t>Ministru kabineta</w:t>
      </w:r>
      <w:r w:rsidRPr="006D40C5">
        <w:rPr>
          <w:rFonts w:cstheme="minorHAnsi"/>
          <w:bCs/>
          <w:sz w:val="20"/>
          <w:szCs w:val="20"/>
        </w:rPr>
        <w:br/>
      </w:r>
      <w:r w:rsidRPr="006D40C5">
        <w:rPr>
          <w:rFonts w:eastAsia="Calibri" w:cstheme="minorHAnsi"/>
          <w:sz w:val="20"/>
          <w:szCs w:val="20"/>
        </w:rPr>
        <w:t xml:space="preserve">2020. gada </w:t>
      </w:r>
      <w:r w:rsidRPr="006D40C5">
        <w:rPr>
          <w:rFonts w:cstheme="minorHAnsi"/>
          <w:sz w:val="20"/>
          <w:szCs w:val="20"/>
        </w:rPr>
        <w:t>6. oktobra</w:t>
      </w:r>
      <w:r w:rsidRPr="006D40C5">
        <w:rPr>
          <w:rFonts w:cstheme="minorHAnsi"/>
          <w:sz w:val="20"/>
          <w:szCs w:val="20"/>
        </w:rPr>
        <w:br/>
      </w:r>
      <w:r w:rsidRPr="006D40C5">
        <w:rPr>
          <w:rFonts w:eastAsia="Calibri" w:cstheme="minorHAnsi"/>
          <w:sz w:val="20"/>
          <w:szCs w:val="20"/>
        </w:rPr>
        <w:t>noteikumiem Nr. 620</w:t>
      </w:r>
      <w:r w:rsidR="00EE6FAC" w:rsidRPr="006D40C5">
        <w:rPr>
          <w:rFonts w:eastAsia="Calibri" w:cstheme="minorHAnsi"/>
          <w:sz w:val="20"/>
          <w:szCs w:val="20"/>
        </w:rPr>
        <w:t xml:space="preserve"> </w:t>
      </w:r>
      <w:r w:rsidR="00EE6FAC" w:rsidRPr="006D40C5">
        <w:rPr>
          <w:rFonts w:eastAsia="Calibri" w:cstheme="minorHAnsi"/>
          <w:sz w:val="20"/>
          <w:szCs w:val="20"/>
        </w:rPr>
        <w:br/>
      </w:r>
    </w:p>
    <w:p w14:paraId="0783164F" w14:textId="77777777" w:rsidR="0077190B" w:rsidRDefault="0077190B" w:rsidP="0077190B">
      <w:pPr>
        <w:spacing w:before="130" w:after="0" w:line="260" w:lineRule="exact"/>
        <w:ind w:firstLine="539"/>
        <w:jc w:val="right"/>
        <w:rPr>
          <w:rFonts w:cstheme="minorHAnsi"/>
          <w:sz w:val="20"/>
          <w:szCs w:val="20"/>
        </w:rPr>
      </w:pPr>
      <w:r w:rsidRPr="006D40C5">
        <w:rPr>
          <w:rFonts w:cstheme="minorHAnsi"/>
          <w:sz w:val="20"/>
          <w:szCs w:val="20"/>
        </w:rPr>
        <w:t>Datu valsts inspekcijai</w:t>
      </w:r>
    </w:p>
    <w:p w14:paraId="0DB27A14" w14:textId="42C400CA" w:rsidR="009A6D91" w:rsidRPr="006D40C5" w:rsidRDefault="009A6D91" w:rsidP="0077190B">
      <w:pPr>
        <w:spacing w:before="130" w:after="0" w:line="260" w:lineRule="exact"/>
        <w:ind w:firstLine="539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pasts@dvi.gov.lv</w:t>
      </w:r>
    </w:p>
    <w:p w14:paraId="4AFB97E9" w14:textId="77777777" w:rsidR="0077190B" w:rsidRPr="006D40C5" w:rsidRDefault="0077190B" w:rsidP="0077190B">
      <w:pPr>
        <w:spacing w:before="360" w:after="0" w:line="240" w:lineRule="auto"/>
        <w:ind w:left="567" w:right="567"/>
        <w:jc w:val="center"/>
        <w:rPr>
          <w:rFonts w:cstheme="minorHAnsi"/>
          <w:b/>
          <w:sz w:val="20"/>
          <w:szCs w:val="20"/>
        </w:rPr>
      </w:pPr>
      <w:r w:rsidRPr="006D40C5">
        <w:rPr>
          <w:rFonts w:cstheme="minorHAnsi"/>
          <w:b/>
          <w:sz w:val="20"/>
          <w:szCs w:val="20"/>
        </w:rPr>
        <w:t>Iesniegums profesionālās kvalifikācijas uzturēšanas atzīšanai</w:t>
      </w:r>
    </w:p>
    <w:p w14:paraId="30FF9CDD" w14:textId="77777777" w:rsidR="0077190B" w:rsidRPr="006D40C5" w:rsidRDefault="0077190B" w:rsidP="0077190B">
      <w:pPr>
        <w:spacing w:before="130" w:after="0" w:line="260" w:lineRule="exact"/>
        <w:ind w:firstLine="539"/>
        <w:jc w:val="both"/>
        <w:rPr>
          <w:rFonts w:cstheme="minorHAnsi"/>
          <w:sz w:val="20"/>
          <w:szCs w:val="20"/>
        </w:rPr>
      </w:pPr>
    </w:p>
    <w:p w14:paraId="59318E3E" w14:textId="77777777" w:rsidR="0077190B" w:rsidRPr="006D40C5" w:rsidRDefault="0077190B" w:rsidP="0077190B">
      <w:pPr>
        <w:pStyle w:val="Sarakstarindkopa"/>
        <w:spacing w:before="130" w:after="0" w:line="260" w:lineRule="exact"/>
        <w:ind w:left="0" w:firstLine="539"/>
        <w:contextualSpacing w:val="0"/>
        <w:jc w:val="center"/>
        <w:rPr>
          <w:rFonts w:cstheme="minorHAnsi"/>
          <w:b/>
          <w:sz w:val="20"/>
          <w:szCs w:val="20"/>
        </w:rPr>
      </w:pPr>
      <w:r w:rsidRPr="006D40C5">
        <w:rPr>
          <w:rFonts w:cstheme="minorHAnsi"/>
          <w:b/>
          <w:sz w:val="20"/>
          <w:szCs w:val="20"/>
        </w:rPr>
        <w:t>I. Vispārīgā informācija</w:t>
      </w:r>
    </w:p>
    <w:p w14:paraId="5D2AD70F" w14:textId="77777777" w:rsidR="0077190B" w:rsidRPr="006D40C5" w:rsidRDefault="0077190B" w:rsidP="0077190B">
      <w:pPr>
        <w:pStyle w:val="Sarakstarindkopa"/>
        <w:spacing w:before="130" w:after="0" w:line="260" w:lineRule="exact"/>
        <w:ind w:left="0"/>
        <w:contextualSpacing w:val="0"/>
        <w:jc w:val="both"/>
        <w:rPr>
          <w:rFonts w:cstheme="minorHAnsi"/>
          <w:sz w:val="20"/>
          <w:szCs w:val="20"/>
        </w:rPr>
      </w:pPr>
    </w:p>
    <w:tbl>
      <w:tblPr>
        <w:tblStyle w:val="Reatabu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4"/>
        <w:gridCol w:w="5596"/>
        <w:gridCol w:w="4628"/>
      </w:tblGrid>
      <w:tr w:rsidR="00EF1E6A" w:rsidRPr="006D40C5" w14:paraId="7DF415F2" w14:textId="77777777" w:rsidTr="00C63AE2">
        <w:tc>
          <w:tcPr>
            <w:tcW w:w="3856" w:type="dxa"/>
          </w:tcPr>
          <w:p w14:paraId="4F8941ED" w14:textId="77777777" w:rsidR="0077190B" w:rsidRPr="006D40C5" w:rsidRDefault="0077190B" w:rsidP="00C63AE2">
            <w:pPr>
              <w:pStyle w:val="Sarakstarindkopa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Datu aizsardzības speciālista vārds, uzvārds</w:t>
            </w:r>
          </w:p>
        </w:tc>
        <w:tc>
          <w:tcPr>
            <w:tcW w:w="5823" w:type="dxa"/>
            <w:tcBorders>
              <w:bottom w:val="single" w:sz="4" w:space="0" w:color="auto"/>
            </w:tcBorders>
          </w:tcPr>
          <w:p w14:paraId="5FB2F504" w14:textId="4B467579" w:rsidR="0077190B" w:rsidRPr="006D40C5" w:rsidRDefault="008A3883" w:rsidP="00C63AE2">
            <w:pPr>
              <w:pStyle w:val="Sarakstarindkopa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 xml:space="preserve">Jānis </w:t>
            </w:r>
            <w:proofErr w:type="spellStart"/>
            <w:r w:rsidRPr="006D40C5">
              <w:rPr>
                <w:rFonts w:cstheme="minorHAnsi"/>
                <w:sz w:val="20"/>
                <w:szCs w:val="20"/>
              </w:rPr>
              <w:t>Datiņš</w:t>
            </w:r>
            <w:proofErr w:type="spellEnd"/>
          </w:p>
        </w:tc>
        <w:tc>
          <w:tcPr>
            <w:tcW w:w="4834" w:type="dxa"/>
          </w:tcPr>
          <w:p w14:paraId="6F6E8513" w14:textId="77777777" w:rsidR="0077190B" w:rsidRPr="006D40C5" w:rsidRDefault="0077190B" w:rsidP="00C63AE2">
            <w:pPr>
              <w:pStyle w:val="Sarakstarindkopa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7FAE26C" w14:textId="77777777" w:rsidR="0077190B" w:rsidRPr="006D40C5" w:rsidRDefault="0077190B" w:rsidP="0077190B">
      <w:pPr>
        <w:pStyle w:val="Sarakstarindkopa"/>
        <w:spacing w:before="130" w:after="0" w:line="260" w:lineRule="exact"/>
        <w:ind w:left="0"/>
        <w:contextualSpacing w:val="0"/>
        <w:jc w:val="both"/>
        <w:rPr>
          <w:rFonts w:cstheme="minorHAnsi"/>
          <w:sz w:val="20"/>
          <w:szCs w:val="20"/>
        </w:rPr>
      </w:pPr>
    </w:p>
    <w:tbl>
      <w:tblPr>
        <w:tblStyle w:val="Reatabu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6"/>
        <w:gridCol w:w="2613"/>
        <w:gridCol w:w="7479"/>
      </w:tblGrid>
      <w:tr w:rsidR="00EF1E6A" w:rsidRPr="006D40C5" w14:paraId="3DC6751C" w14:textId="77777777" w:rsidTr="00C63AE2">
        <w:tc>
          <w:tcPr>
            <w:tcW w:w="3997" w:type="dxa"/>
          </w:tcPr>
          <w:p w14:paraId="0ECD064E" w14:textId="77777777" w:rsidR="0077190B" w:rsidRPr="006D40C5" w:rsidRDefault="0077190B" w:rsidP="00C63AE2">
            <w:pPr>
              <w:pStyle w:val="Sarakstarindkopa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Datu aizsardzības speciālista tālruņa numurs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A77933C" w14:textId="6AE7C22D" w:rsidR="0077190B" w:rsidRPr="006D40C5" w:rsidRDefault="008A3883" w:rsidP="00C63AE2">
            <w:pPr>
              <w:pStyle w:val="Sarakstarindkopa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+371 00000000</w:t>
            </w:r>
          </w:p>
        </w:tc>
        <w:tc>
          <w:tcPr>
            <w:tcW w:w="7822" w:type="dxa"/>
          </w:tcPr>
          <w:p w14:paraId="085847C8" w14:textId="77777777" w:rsidR="0077190B" w:rsidRPr="006D40C5" w:rsidRDefault="0077190B" w:rsidP="00C63AE2">
            <w:pPr>
              <w:pStyle w:val="Sarakstarindkopa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1878885" w14:textId="77777777" w:rsidR="0077190B" w:rsidRPr="006D40C5" w:rsidRDefault="0077190B" w:rsidP="0077190B">
      <w:pPr>
        <w:pStyle w:val="Sarakstarindkopa"/>
        <w:spacing w:before="130" w:after="0" w:line="260" w:lineRule="exact"/>
        <w:ind w:left="0"/>
        <w:contextualSpacing w:val="0"/>
        <w:jc w:val="both"/>
        <w:rPr>
          <w:rFonts w:cstheme="minorHAnsi"/>
          <w:sz w:val="20"/>
          <w:szCs w:val="20"/>
        </w:rPr>
      </w:pPr>
    </w:p>
    <w:tbl>
      <w:tblPr>
        <w:tblStyle w:val="Reatabu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7"/>
        <w:gridCol w:w="7935"/>
        <w:gridCol w:w="4616"/>
      </w:tblGrid>
      <w:tr w:rsidR="00EF1E6A" w:rsidRPr="006D40C5" w14:paraId="479FF538" w14:textId="77777777" w:rsidTr="00C63AE2">
        <w:tc>
          <w:tcPr>
            <w:tcW w:w="1446" w:type="dxa"/>
          </w:tcPr>
          <w:p w14:paraId="478D0585" w14:textId="153226D2" w:rsidR="0077190B" w:rsidRPr="006D40C5" w:rsidRDefault="0077190B" w:rsidP="00C63AE2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E</w:t>
            </w:r>
            <w:r w:rsidR="00BD7202">
              <w:rPr>
                <w:rFonts w:cstheme="minorHAnsi"/>
                <w:sz w:val="20"/>
                <w:szCs w:val="20"/>
              </w:rPr>
              <w:t>-</w:t>
            </w:r>
            <w:r w:rsidRPr="006D40C5">
              <w:rPr>
                <w:rFonts w:cstheme="minorHAnsi"/>
                <w:sz w:val="20"/>
                <w:szCs w:val="20"/>
              </w:rPr>
              <w:t>pasta adrese</w:t>
            </w:r>
          </w:p>
        </w:tc>
        <w:tc>
          <w:tcPr>
            <w:tcW w:w="8231" w:type="dxa"/>
            <w:tcBorders>
              <w:bottom w:val="single" w:sz="4" w:space="0" w:color="auto"/>
            </w:tcBorders>
          </w:tcPr>
          <w:p w14:paraId="0819A9CB" w14:textId="6B3644E3" w:rsidR="0077190B" w:rsidRPr="006D40C5" w:rsidRDefault="008A3883" w:rsidP="00C63AE2">
            <w:pPr>
              <w:jc w:val="both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janisdatins@epasts.lv</w:t>
            </w:r>
          </w:p>
        </w:tc>
        <w:tc>
          <w:tcPr>
            <w:tcW w:w="4836" w:type="dxa"/>
          </w:tcPr>
          <w:p w14:paraId="5B9393F5" w14:textId="77777777" w:rsidR="0077190B" w:rsidRPr="006D40C5" w:rsidRDefault="0077190B" w:rsidP="00C63AE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8F4FAA" w14:textId="77777777" w:rsidR="0077190B" w:rsidRPr="006D40C5" w:rsidRDefault="0077190B" w:rsidP="0077190B">
      <w:pPr>
        <w:spacing w:before="130" w:after="0" w:line="260" w:lineRule="exact"/>
        <w:jc w:val="both"/>
        <w:rPr>
          <w:rFonts w:cstheme="minorHAnsi"/>
          <w:sz w:val="20"/>
          <w:szCs w:val="20"/>
        </w:rPr>
      </w:pPr>
    </w:p>
    <w:p w14:paraId="1E5D95CA" w14:textId="77777777" w:rsidR="009E115B" w:rsidRDefault="009E115B">
      <w:pPr>
        <w:spacing w:after="160" w:line="259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2986DBB9" w14:textId="3C121FE0" w:rsidR="0077190B" w:rsidRPr="006D40C5" w:rsidRDefault="0077190B" w:rsidP="007A5A95">
      <w:pPr>
        <w:pStyle w:val="Sarakstarindkopa"/>
        <w:spacing w:before="130" w:after="0" w:line="260" w:lineRule="exact"/>
        <w:ind w:left="0"/>
        <w:contextualSpacing w:val="0"/>
        <w:jc w:val="center"/>
        <w:rPr>
          <w:rFonts w:cstheme="minorHAnsi"/>
          <w:b/>
          <w:sz w:val="20"/>
          <w:szCs w:val="20"/>
        </w:rPr>
      </w:pPr>
      <w:r w:rsidRPr="006D40C5">
        <w:rPr>
          <w:rFonts w:cstheme="minorHAnsi"/>
          <w:b/>
          <w:sz w:val="20"/>
          <w:szCs w:val="20"/>
        </w:rPr>
        <w:lastRenderedPageBreak/>
        <w:t>II. Informācija par profesionālās kvalifikācijas paaugstināšanas pasākumiem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1"/>
        <w:gridCol w:w="1277"/>
        <w:gridCol w:w="1078"/>
        <w:gridCol w:w="1026"/>
        <w:gridCol w:w="3281"/>
        <w:gridCol w:w="1276"/>
        <w:gridCol w:w="1842"/>
        <w:gridCol w:w="1276"/>
        <w:gridCol w:w="2471"/>
      </w:tblGrid>
      <w:tr w:rsidR="00EF1E6A" w:rsidRPr="006D40C5" w14:paraId="536A4B41" w14:textId="77777777" w:rsidTr="007A5A95">
        <w:tc>
          <w:tcPr>
            <w:tcW w:w="421" w:type="dxa"/>
            <w:vAlign w:val="center"/>
            <w:hideMark/>
          </w:tcPr>
          <w:p w14:paraId="35A81C21" w14:textId="77777777" w:rsidR="0077190B" w:rsidRPr="009A6D91" w:rsidRDefault="0077190B" w:rsidP="00A937BC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6D91">
              <w:rPr>
                <w:rFonts w:cstheme="minorHAnsi"/>
                <w:b/>
                <w:bCs/>
                <w:sz w:val="20"/>
                <w:szCs w:val="20"/>
              </w:rPr>
              <w:t>Nr. p. k.</w:t>
            </w:r>
          </w:p>
        </w:tc>
        <w:tc>
          <w:tcPr>
            <w:tcW w:w="1277" w:type="dxa"/>
            <w:vAlign w:val="center"/>
            <w:hideMark/>
          </w:tcPr>
          <w:p w14:paraId="0D4BE240" w14:textId="77777777" w:rsidR="0077190B" w:rsidRPr="009A6D91" w:rsidRDefault="0077190B" w:rsidP="00A937BC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6D91">
              <w:rPr>
                <w:rFonts w:cstheme="minorHAnsi"/>
                <w:b/>
                <w:bCs/>
                <w:sz w:val="20"/>
                <w:szCs w:val="20"/>
              </w:rPr>
              <w:t>Mācību veids un nosaukums</w:t>
            </w:r>
          </w:p>
        </w:tc>
        <w:tc>
          <w:tcPr>
            <w:tcW w:w="1078" w:type="dxa"/>
            <w:vAlign w:val="center"/>
            <w:hideMark/>
          </w:tcPr>
          <w:p w14:paraId="333376EF" w14:textId="77777777" w:rsidR="0077190B" w:rsidRPr="009A6D91" w:rsidRDefault="0077190B" w:rsidP="00A937BC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6D91">
              <w:rPr>
                <w:rFonts w:cstheme="minorHAnsi"/>
                <w:b/>
                <w:bCs/>
                <w:sz w:val="20"/>
                <w:szCs w:val="20"/>
              </w:rPr>
              <w:t>Mācību organizētājs</w:t>
            </w:r>
          </w:p>
        </w:tc>
        <w:tc>
          <w:tcPr>
            <w:tcW w:w="1026" w:type="dxa"/>
            <w:vAlign w:val="center"/>
            <w:hideMark/>
          </w:tcPr>
          <w:p w14:paraId="586685D1" w14:textId="27BE1496" w:rsidR="0077190B" w:rsidRPr="009A6D91" w:rsidRDefault="0077190B" w:rsidP="00A937BC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6D91">
              <w:rPr>
                <w:rFonts w:cstheme="minorHAnsi"/>
                <w:b/>
                <w:bCs/>
                <w:sz w:val="20"/>
                <w:szCs w:val="20"/>
              </w:rPr>
              <w:t>Mācību norises laiks un vieta</w:t>
            </w:r>
            <w:r w:rsidR="00AF58E0" w:rsidRPr="009A6D91">
              <w:rPr>
                <w:rStyle w:val="Vresatsauce"/>
                <w:rFonts w:cstheme="minorHAns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281" w:type="dxa"/>
            <w:vAlign w:val="center"/>
            <w:hideMark/>
          </w:tcPr>
          <w:p w14:paraId="70287857" w14:textId="25F387F4" w:rsidR="0077190B" w:rsidRPr="009A6D91" w:rsidRDefault="0077190B" w:rsidP="00A937BC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6D91">
              <w:rPr>
                <w:rFonts w:cstheme="minorHAnsi"/>
                <w:b/>
                <w:bCs/>
                <w:sz w:val="20"/>
                <w:szCs w:val="20"/>
              </w:rPr>
              <w:t>Mācību ievirze un tēma</w:t>
            </w:r>
            <w:r w:rsidR="00BF2204" w:rsidRPr="009A6D91">
              <w:rPr>
                <w:rStyle w:val="Vresatsauce"/>
                <w:rFonts w:cstheme="minorHAnsi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vAlign w:val="center"/>
            <w:hideMark/>
          </w:tcPr>
          <w:p w14:paraId="5B9DA481" w14:textId="77777777" w:rsidR="0077190B" w:rsidRPr="009A6D91" w:rsidRDefault="0077190B" w:rsidP="00A937BC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6D91">
              <w:rPr>
                <w:rFonts w:cstheme="minorHAnsi"/>
                <w:b/>
                <w:bCs/>
                <w:sz w:val="20"/>
                <w:szCs w:val="20"/>
              </w:rPr>
              <w:t>Mācību mērķauditorija</w:t>
            </w:r>
          </w:p>
        </w:tc>
        <w:tc>
          <w:tcPr>
            <w:tcW w:w="1842" w:type="dxa"/>
            <w:vAlign w:val="center"/>
            <w:hideMark/>
          </w:tcPr>
          <w:p w14:paraId="49BCCF4A" w14:textId="45CCBF5D" w:rsidR="0077190B" w:rsidRPr="009A6D91" w:rsidRDefault="0077190B" w:rsidP="00A937BC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6D91">
              <w:rPr>
                <w:rFonts w:cstheme="minorHAnsi"/>
                <w:b/>
                <w:bCs/>
                <w:sz w:val="20"/>
                <w:szCs w:val="20"/>
              </w:rPr>
              <w:t>Mācību norises ilgums (akadēmiskās stundas)</w:t>
            </w:r>
            <w:r w:rsidR="00EE6FAC" w:rsidRPr="009A6D91">
              <w:rPr>
                <w:rStyle w:val="Vresatsauce"/>
                <w:rFonts w:cstheme="minorHAnsi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hideMark/>
          </w:tcPr>
          <w:p w14:paraId="6B692F55" w14:textId="69B895AB" w:rsidR="0077190B" w:rsidRPr="009A6D91" w:rsidRDefault="0077190B" w:rsidP="00A937BC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6D91">
              <w:rPr>
                <w:rFonts w:cstheme="minorHAnsi"/>
                <w:b/>
                <w:bCs/>
                <w:sz w:val="20"/>
                <w:szCs w:val="20"/>
              </w:rPr>
              <w:t>Apliecinājums, ka ir sekmīgi nokārtots mācību gala pārbaudījums vai piedalījies mācībās kā pasniedzējs</w:t>
            </w:r>
            <w:r w:rsidR="007A5A95" w:rsidRPr="009A6D91">
              <w:rPr>
                <w:rStyle w:val="Vresatsauce"/>
                <w:rFonts w:cstheme="minorHAnsi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471" w:type="dxa"/>
            <w:hideMark/>
          </w:tcPr>
          <w:p w14:paraId="3D49CDD5" w14:textId="4C47E6F9" w:rsidR="0077190B" w:rsidRPr="009A6D91" w:rsidRDefault="0077190B" w:rsidP="00A937BC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6D91">
              <w:rPr>
                <w:rFonts w:cstheme="minorHAnsi"/>
                <w:b/>
                <w:bCs/>
                <w:sz w:val="20"/>
                <w:szCs w:val="20"/>
              </w:rPr>
              <w:t>Pievienotais dokuments vai cits informācijas avots, kas apliecina mācību norises laiku, vietu, izskatāmos jautājumus un speciālista dalību pasākumā</w:t>
            </w:r>
            <w:r w:rsidR="00132E6F" w:rsidRPr="009A6D91">
              <w:rPr>
                <w:rStyle w:val="Vresatsauce"/>
                <w:rFonts w:cstheme="minorHAnsi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D038D7" w:rsidRPr="006D40C5" w14:paraId="0A6C76E1" w14:textId="77777777" w:rsidTr="007A5A95">
        <w:tc>
          <w:tcPr>
            <w:tcW w:w="421" w:type="dxa"/>
            <w:vAlign w:val="center"/>
          </w:tcPr>
          <w:p w14:paraId="2FD5E584" w14:textId="52E03946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14:paraId="3BD2B7D2" w14:textId="6CA9F9BD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Konference 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“</w:t>
            </w: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Digitālā ēra 2022 </w:t>
            </w:r>
            <w:r w:rsidR="00891881" w:rsidRPr="006D40C5">
              <w:rPr>
                <w:rFonts w:eastAsia="Times New Roman" w:cstheme="minorHAnsi"/>
                <w:sz w:val="20"/>
                <w:szCs w:val="20"/>
              </w:rPr>
              <w:t>–</w:t>
            </w: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Tiesību realizācijas mehānismi, atbildība un </w:t>
            </w: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sankcijas datu aizsardzības jomā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“</w:t>
            </w:r>
          </w:p>
        </w:tc>
        <w:tc>
          <w:tcPr>
            <w:tcW w:w="1078" w:type="dxa"/>
            <w:vAlign w:val="center"/>
          </w:tcPr>
          <w:p w14:paraId="1DE2B5FA" w14:textId="66D967C5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 xml:space="preserve">Biedrība 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“</w:t>
            </w: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Latvijas sertificēto personas datu aizsardzības </w:t>
            </w: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speciālistu asociācija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“</w:t>
            </w:r>
          </w:p>
        </w:tc>
        <w:tc>
          <w:tcPr>
            <w:tcW w:w="1026" w:type="dxa"/>
            <w:vAlign w:val="center"/>
          </w:tcPr>
          <w:p w14:paraId="1D6C04A0" w14:textId="3D6ED9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lastRenderedPageBreak/>
              <w:t>23.09.2023., tiešsaistē</w:t>
            </w:r>
          </w:p>
        </w:tc>
        <w:tc>
          <w:tcPr>
            <w:tcW w:w="3281" w:type="dxa"/>
            <w:vAlign w:val="center"/>
          </w:tcPr>
          <w:p w14:paraId="60998F75" w14:textId="440D184C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7E21648D" w14:textId="6ADEA63D" w:rsidR="00D038D7" w:rsidRPr="006D40C5" w:rsidRDefault="000029B1" w:rsidP="00D038D7">
            <w:pPr>
              <w:pStyle w:val="Vienkrsteks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Konference auditorijai ar priekšzināšanām.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038D7"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Ievirze un tēma saistīta ar personas datu aizsardzības jomu: </w:t>
            </w:r>
            <w:r w:rsidR="003E06F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Vispārīgās datu aizsardzības regulas </w:t>
            </w:r>
            <w:r w:rsidR="00D038D7" w:rsidRPr="006D40C5">
              <w:rPr>
                <w:rFonts w:asciiTheme="minorHAnsi" w:hAnsiTheme="minorHAnsi" w:cstheme="minorHAnsi"/>
                <w:sz w:val="20"/>
                <w:szCs w:val="20"/>
              </w:rPr>
              <w:t xml:space="preserve">un Policijas direktīvas </w:t>
            </w:r>
            <w:r w:rsidR="00D038D7" w:rsidRPr="006D40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nošķiršana: kopīgais un atšķirīgais tiesību realizācijā. Cilvēktiesību tiesas atziņas datu apstrādes lietās. Tiesību realizācijas mehānismi Datu valsts inspekcijā.</w:t>
            </w:r>
          </w:p>
          <w:p w14:paraId="53FA2891" w14:textId="621B6863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Vai un kāpēc DVI atšķiras no citām iestādēm, kas veic administratīvā pārkāpuma procesu?</w:t>
            </w:r>
          </w:p>
        </w:tc>
        <w:tc>
          <w:tcPr>
            <w:tcW w:w="1276" w:type="dxa"/>
            <w:vAlign w:val="center"/>
          </w:tcPr>
          <w:p w14:paraId="3EF33697" w14:textId="7202A772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lastRenderedPageBreak/>
              <w:t>Nozares speciālisti, t.sk., datu aizsardzības speciālisti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6C8F1F59" w14:textId="2CF01A84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4,5 akadēmiskās stundas. </w:t>
            </w:r>
            <w:r w:rsidRPr="006D40C5">
              <w:rPr>
                <w:rFonts w:cstheme="minorHAnsi"/>
                <w:sz w:val="20"/>
                <w:szCs w:val="20"/>
              </w:rPr>
              <w:t xml:space="preserve">Informācija par akadēmisko stundu skaitu norādīta sertifikātā, </w:t>
            </w:r>
            <w:r w:rsidRPr="006D40C5">
              <w:rPr>
                <w:rFonts w:cstheme="minorHAnsi"/>
                <w:sz w:val="20"/>
                <w:szCs w:val="20"/>
              </w:rPr>
              <w:lastRenderedPageBreak/>
              <w:t>kas pievienots pielikumā.</w:t>
            </w:r>
          </w:p>
          <w:p w14:paraId="1382189F" w14:textId="79FDB08A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F75678" w14:textId="49B29557" w:rsidR="00D038D7" w:rsidRPr="006D40C5" w:rsidRDefault="00D038D7" w:rsidP="00D038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lastRenderedPageBreak/>
              <w:t>Nav piemērojams.</w:t>
            </w:r>
          </w:p>
        </w:tc>
        <w:tc>
          <w:tcPr>
            <w:tcW w:w="2471" w:type="dxa"/>
          </w:tcPr>
          <w:p w14:paraId="6317F5C2" w14:textId="2D4E5C3E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Pielikumā pievienots sertifikāts, kas apliecina dalību konkrētajā konferencē. K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onferences programma (organizētāja e</w:t>
            </w:r>
            <w:r w:rsidR="00BD7202">
              <w:rPr>
                <w:rFonts w:eastAsia="Times New Roman" w:cstheme="minorHAnsi"/>
                <w:sz w:val="20"/>
                <w:szCs w:val="20"/>
              </w:rPr>
              <w:t>-</w:t>
            </w:r>
            <w:r w:rsidRPr="006D40C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pasta vēstule) </w:t>
            </w:r>
            <w:r w:rsidRPr="006D40C5">
              <w:rPr>
                <w:rFonts w:cstheme="minorHAnsi"/>
                <w:sz w:val="20"/>
                <w:szCs w:val="20"/>
              </w:rPr>
              <w:t>pievienota pielikumā.</w:t>
            </w:r>
          </w:p>
          <w:p w14:paraId="2BBCF0BE" w14:textId="7DB57E04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038D7" w:rsidRPr="006D40C5" w14:paraId="4D8F36D1" w14:textId="77777777" w:rsidTr="007A5A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3A68" w14:textId="0CA3447C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830C" w14:textId="0C5233B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 xml:space="preserve">Starptautiska 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kiberdrošības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konference “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Kiberšahs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2022” (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CyberChess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2022)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1FFA" w14:textId="4896A17D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CERT.LV un Latvijas Interneta asociācija sadarbībā ar Latvijas Republikas Aizsardzības ministriju, LMT, dots., </w:t>
            </w:r>
            <w:proofErr w:type="spellStart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Tet</w:t>
            </w:r>
            <w:proofErr w:type="spellEnd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Cyber</w:t>
            </w:r>
            <w:proofErr w:type="spellEnd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Circle</w:t>
            </w:r>
            <w:proofErr w:type="spellEnd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Cybexer</w:t>
            </w:r>
            <w:proofErr w:type="spellEnd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Technologies un CTF Tech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91A2" w14:textId="55BE171C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04.10.2022. un 05.10.2022., tiešsaistē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EF8E" w14:textId="78896E80" w:rsidR="00D038D7" w:rsidRPr="006D40C5" w:rsidRDefault="00D038D7" w:rsidP="00D038D7">
            <w:pPr>
              <w:pStyle w:val="Vienkrsteks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Konference auditorijai ar priekšzināšanām. Ievirze un tēma:  cita joma, kas saistīta ar datu aizsardzības speciālista pienākumu izpildi. Konference tika iedalīta 3 blokos: “</w:t>
            </w:r>
            <w:proofErr w:type="spellStart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Kiberšahs</w:t>
            </w:r>
            <w:proofErr w:type="spellEnd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2022” centrālā sesija, kuras fokuss būs stratēģiski politiskie </w:t>
            </w:r>
            <w:proofErr w:type="spellStart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kiberdrošības</w:t>
            </w:r>
            <w:proofErr w:type="spellEnd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jautājumi Latvijas un Eiropas līmenī. Tehniskā </w:t>
            </w:r>
            <w:proofErr w:type="spellStart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paralēlsesija</w:t>
            </w:r>
            <w:proofErr w:type="spellEnd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“</w:t>
            </w:r>
            <w:proofErr w:type="spellStart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KiberŠoks</w:t>
            </w:r>
            <w:proofErr w:type="spellEnd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”, kas tika veltīta padziļinātai tehnisku </w:t>
            </w:r>
            <w:proofErr w:type="spellStart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kiberdrošības</w:t>
            </w:r>
            <w:proofErr w:type="spellEnd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jautājumu izpētei, iekļaujot praktiskas demonstrācijas. “</w:t>
            </w:r>
            <w:proofErr w:type="spellStart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Capture</w:t>
            </w:r>
            <w:proofErr w:type="spellEnd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Flag</w:t>
            </w:r>
            <w:proofErr w:type="spellEnd"/>
            <w:r w:rsidRPr="006D40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” (CTF) sacensības.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1698" w14:textId="4B6122D4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Valsts un pašvaldību iestāžu atbildīgās personas par IT drošību, IT drošības speciālisti, informācijas sistēmu auditori, IT drošības entuziasti, pētnieki un citi interesenti.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0271" w14:textId="3F72A9FD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9,10 akadēmiskās stundas</w:t>
            </w:r>
            <w:r w:rsidRPr="00405D35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6D40C5">
              <w:rPr>
                <w:rFonts w:cstheme="minorHAnsi"/>
                <w:sz w:val="20"/>
                <w:szCs w:val="20"/>
              </w:rPr>
              <w:t xml:space="preserve">Informācija par akadēmisko stundu skaita aprēķinu pievienota pielikumā, jo tās nav norādītas ne sertifikātā, ne Datu valsts inspekcijas tīmekļa vietnes sadaļā 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”</w:t>
            </w:r>
            <w:r w:rsidRPr="006D40C5">
              <w:rPr>
                <w:rFonts w:cstheme="minorHAnsi"/>
                <w:sz w:val="20"/>
                <w:szCs w:val="20"/>
              </w:rPr>
              <w:t>Apmācību iespējas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”</w:t>
            </w:r>
          </w:p>
          <w:p w14:paraId="5EA4AAAD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(ieskaitītas tikai tēmas, kas saistītas ar personas datu aizsardzību vai citu jomu, kas saistīta ar datu aizsardzības speciālista pienākumu izpildi, ņemot vērā tikai šajās apmācībās faktiski pavadīto laiku).</w:t>
            </w:r>
          </w:p>
          <w:p w14:paraId="7CB1904B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D99" w14:textId="6E3491D3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Nav piemērojams.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9D4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 xml:space="preserve">Pielikumā pievienots sertifikāts, kas apliecina dalību konkrētajā konferencē. Informācija par konferenci un izskatītajiem jautājumiem pieejama arī pēc saites: </w:t>
            </w:r>
            <w:hyperlink r:id="rId8" w:history="1">
              <w:r w:rsidRPr="006D40C5">
                <w:rPr>
                  <w:rStyle w:val="Hipersaite"/>
                  <w:rFonts w:cstheme="minorHAnsi"/>
                  <w:color w:val="auto"/>
                  <w:sz w:val="20"/>
                  <w:szCs w:val="20"/>
                </w:rPr>
                <w:t>https://cert.lv/lv/2022/09/atverta-pieteiksanas-it-drosibas-konferencei-kibersahs-2022</w:t>
              </w:r>
            </w:hyperlink>
            <w:r w:rsidRPr="006D40C5">
              <w:rPr>
                <w:rFonts w:cstheme="minorHAnsi"/>
                <w:sz w:val="20"/>
                <w:szCs w:val="20"/>
              </w:rPr>
              <w:t xml:space="preserve"> un </w:t>
            </w:r>
            <w:hyperlink r:id="rId9" w:history="1">
              <w:r w:rsidRPr="006D40C5">
                <w:rPr>
                  <w:rStyle w:val="Hipersaite"/>
                  <w:rFonts w:cstheme="minorHAnsi"/>
                  <w:color w:val="auto"/>
                  <w:sz w:val="20"/>
                  <w:szCs w:val="20"/>
                </w:rPr>
                <w:t>https://eprasmes.lv/event/kiberdrosibas-konference-cyberchess-2022/</w:t>
              </w:r>
            </w:hyperlink>
            <w:r w:rsidRPr="006D40C5">
              <w:rPr>
                <w:rFonts w:cstheme="minorHAnsi"/>
                <w:sz w:val="20"/>
                <w:szCs w:val="20"/>
              </w:rPr>
              <w:t>.</w:t>
            </w:r>
          </w:p>
          <w:p w14:paraId="7ABA0643" w14:textId="1EDC45B9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K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onferences programma (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ekrānšāviņš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no organizatora tīmekļa vietnes) </w:t>
            </w:r>
            <w:r w:rsidRPr="006D40C5">
              <w:rPr>
                <w:rFonts w:cstheme="minorHAnsi"/>
                <w:sz w:val="20"/>
                <w:szCs w:val="20"/>
              </w:rPr>
              <w:t>pievienota pielikumā.</w:t>
            </w:r>
          </w:p>
        </w:tc>
      </w:tr>
      <w:tr w:rsidR="00D038D7" w:rsidRPr="006D40C5" w14:paraId="3411EC5A" w14:textId="77777777" w:rsidTr="007A5A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AC5F" w14:textId="4A45015A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BBB6" w14:textId="30F8F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Starptautiska konference “Personas dati – nākotnes perspektīva! 2022”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110E" w14:textId="5A3A53BD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Datu valsts inspekcija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B0E" w14:textId="0AAB6CC1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15.09.2022., klātienē Rīgā, Latvijā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C12D" w14:textId="6D77DB96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Konference auditorijai ar priekšzināšanām. Ievirze un tēma saistīta ar personas datu aizsardzības jomu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:</w:t>
            </w: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digitālais eiro un privātums,  sejas atpazīšanas tehnoloģijas, veselības dati un </w:t>
            </w:r>
            <w:proofErr w:type="spellStart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digitalizācija</w:t>
            </w:r>
            <w:proofErr w:type="spellEnd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sīkdatnes, un vai pieejamās alternatīvas ir mazāk </w:t>
            </w:r>
            <w:proofErr w:type="spellStart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invazīvas</w:t>
            </w:r>
            <w:proofErr w:type="spellEnd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. Ko mums sola jaunās Eiropas likumdošanas iniciatīvas Digitālo pakalpojumu, Digitālā tirgus un Datu pārvaldības jomās?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B411" w14:textId="2A30018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Konferences saturs ir saistošs ikvienam, kurš interesējas par personas datu apstrādi un aizsardzību.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7196" w14:textId="5D41C6C0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5 akadēmiskās stundas. </w:t>
            </w:r>
            <w:r w:rsidRPr="006D40C5">
              <w:rPr>
                <w:rFonts w:cstheme="minorHAnsi"/>
                <w:sz w:val="20"/>
                <w:szCs w:val="20"/>
              </w:rPr>
              <w:t xml:space="preserve">Informācija par akadēmisko stundu skaitu pieejama pēc saites: </w:t>
            </w:r>
            <w:hyperlink r:id="rId10" w:history="1">
              <w:r w:rsidRPr="006D40C5">
                <w:rPr>
                  <w:rStyle w:val="Hipersaite"/>
                  <w:rFonts w:cstheme="minorHAnsi"/>
                  <w:color w:val="auto"/>
                  <w:sz w:val="20"/>
                  <w:szCs w:val="20"/>
                </w:rPr>
                <w:t>https://www.dvi.gov.lv/lv/apmacibu-iespejas</w:t>
              </w:r>
            </w:hyperlink>
            <w:r w:rsidRPr="006D40C5">
              <w:rPr>
                <w:rFonts w:cstheme="minorHAnsi"/>
                <w:sz w:val="20"/>
                <w:szCs w:val="20"/>
              </w:rPr>
              <w:t>.</w:t>
            </w:r>
          </w:p>
          <w:p w14:paraId="65F8A60C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0B34" w14:textId="2E8D3D4B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Nav piemērojams.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9C1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Pielikumā pievienots sertifikāts, kas apliecina dalību konkrētajā konferencē.</w:t>
            </w:r>
          </w:p>
          <w:p w14:paraId="58CFC434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 xml:space="preserve">Informācija par konferenci, tās programmu un izskatītajiem jautājumiem pieejama arī pēc saites: </w:t>
            </w:r>
            <w:hyperlink r:id="rId11" w:history="1">
              <w:r w:rsidRPr="006D40C5">
                <w:rPr>
                  <w:rStyle w:val="Hipersaite"/>
                  <w:rFonts w:cstheme="minorHAnsi"/>
                  <w:color w:val="auto"/>
                  <w:sz w:val="20"/>
                  <w:szCs w:val="20"/>
                </w:rPr>
                <w:t>https://www.dvi.gov.lv/lv/pdnp_2022</w:t>
              </w:r>
            </w:hyperlink>
            <w:r w:rsidRPr="006D40C5">
              <w:rPr>
                <w:rFonts w:cstheme="minorHAnsi"/>
                <w:sz w:val="20"/>
                <w:szCs w:val="20"/>
              </w:rPr>
              <w:t xml:space="preserve">  un </w:t>
            </w:r>
            <w:hyperlink r:id="rId12" w:history="1">
              <w:r w:rsidRPr="006D40C5">
                <w:rPr>
                  <w:rStyle w:val="Hipersaite"/>
                  <w:rFonts w:cstheme="minorHAnsi"/>
                  <w:color w:val="auto"/>
                  <w:sz w:val="20"/>
                  <w:szCs w:val="20"/>
                </w:rPr>
                <w:t>https://www.dvi.gov.lv/lv/jaunums/PDNP-2022</w:t>
              </w:r>
            </w:hyperlink>
            <w:r w:rsidRPr="006D40C5">
              <w:rPr>
                <w:rFonts w:cstheme="minorHAnsi"/>
                <w:sz w:val="20"/>
                <w:szCs w:val="20"/>
              </w:rPr>
              <w:t>.</w:t>
            </w:r>
          </w:p>
          <w:p w14:paraId="35A6D8BB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1C459280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38D7" w:rsidRPr="006D40C5" w14:paraId="6BF31692" w14:textId="77777777" w:rsidTr="007A5A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3F25" w14:textId="231AB246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956" w14:textId="1DAF7C6F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Apmācību kurss 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“</w:t>
            </w: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Aktuālās datu aizsardzības nianses un sistēmiska datu aizsardzības uzturēšana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993D" w14:textId="0EB7A8D8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SIA ″</w:t>
            </w:r>
            <w:proofErr w:type="spellStart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Intelligent</w:t>
            </w:r>
            <w:proofErr w:type="spellEnd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agency</w:t>
            </w:r>
            <w:proofErr w:type="spellEnd"/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″, mācību centrs ″MC1″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08F" w14:textId="07065764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25.10.2021., tiešsaistē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8144" w14:textId="23FBC81D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Mācības auditorijai ar priekšzināšanām. Ievirze un tēma saistīta ar personas datu aizsardzības jomu: kursa ietvaros paredzēts atskatīties uz konkrētajām aktualitātēm datu aizsardzībā un informācijas drošībā. Aktuāli lēmumi, procesi, incidenti, notikumi pēdējo 3 mēnešu periodā, to ietekme uz datu aizsardzību. Iespēja kopīgi veikt sistemātiskas datu aizsardzības uzturēšanas praktikumu.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D629" w14:textId="1E99E1F8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Nozares speciālisti, t.sk., datu aizsardzības speciālisti.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20DB" w14:textId="58E8278A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2 akadēmiskās stundas. </w:t>
            </w:r>
            <w:r w:rsidRPr="006D40C5">
              <w:rPr>
                <w:rFonts w:cstheme="minorHAnsi"/>
                <w:sz w:val="20"/>
                <w:szCs w:val="20"/>
              </w:rPr>
              <w:t>Informācija par akadēmisko stundu skaitu norādīta sertifikātā, kas pievienots pielikumā.</w:t>
            </w:r>
          </w:p>
          <w:p w14:paraId="1810AF2D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0160" w14:textId="76D9DD8A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Nav piemērojams.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A47" w14:textId="1ECDFC9A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Pielikumā pievienots sertifikāts, kas apliecina dalību konkrētajā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6D4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mācībās</w:t>
            </w:r>
            <w:r w:rsidRPr="006D40C5">
              <w:rPr>
                <w:rFonts w:cstheme="minorHAnsi"/>
                <w:sz w:val="20"/>
                <w:szCs w:val="20"/>
              </w:rPr>
              <w:t>. Apmācību kursa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 xml:space="preserve"> programma (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ekrānšāviņš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no organizatora tīmekļa vietnes) </w:t>
            </w:r>
            <w:r w:rsidRPr="006D40C5">
              <w:rPr>
                <w:rFonts w:cstheme="minorHAnsi"/>
                <w:sz w:val="20"/>
                <w:szCs w:val="20"/>
              </w:rPr>
              <w:t>pievienota pielikumā.</w:t>
            </w:r>
          </w:p>
        </w:tc>
      </w:tr>
      <w:tr w:rsidR="00D038D7" w:rsidRPr="006D40C5" w14:paraId="6BD4A5C7" w14:textId="77777777" w:rsidTr="007A5A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2378" w14:textId="5FFC4270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7FC6" w14:textId="192A92DA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Mācības “Efektīva personas datu aizsardzība“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15B" w14:textId="3B212B75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Eiropas Tiesību akadēmijas (ERA) (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The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Academy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of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European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Law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(ERA))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17A7" w14:textId="39899CE6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15.06.2021. – 18.06.2021., tiešsaistē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B08" w14:textId="7BD27441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Mācības auditorijai ar priekšzināšanām. Ievirze un tēma saistīta ar personas datu aizsardzības jomu: i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erosinātais Digitālo pakalpojumu regulējums un datu aizsardzība.</w:t>
            </w:r>
          </w:p>
          <w:p w14:paraId="4FCE018F" w14:textId="2EBE80D3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 xml:space="preserve">Elektronisko komunikāciju konfidencialitāte: ierosinātais 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ePrivacy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regulējums.</w:t>
            </w:r>
          </w:p>
          <w:p w14:paraId="2D1EB8DF" w14:textId="696CFBD3" w:rsidR="00D038D7" w:rsidRPr="006D40C5" w:rsidRDefault="003E06FE" w:rsidP="00D038D7">
            <w:pPr>
              <w:pStyle w:val="Sarakstarindkopa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 xml:space="preserve">Vispārīgās datu aizsardzības regulas </w:t>
            </w:r>
            <w:r w:rsidR="00D038D7" w:rsidRPr="006D40C5">
              <w:rPr>
                <w:rFonts w:eastAsia="Times New Roman" w:cstheme="minorHAnsi"/>
                <w:sz w:val="20"/>
                <w:szCs w:val="20"/>
              </w:rPr>
              <w:t>īstenošana.</w:t>
            </w:r>
          </w:p>
          <w:p w14:paraId="5F5B3061" w14:textId="1BD5ADC0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 xml:space="preserve">Starptautiskie datu pārsūtījumi pēc 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Schrems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II un pēc 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Brexit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485BE01D" w14:textId="5AD2A888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COVID</w:t>
            </w:r>
            <w:r w:rsidR="0089188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891881" w:rsidRPr="006D40C5">
              <w:rPr>
                <w:rFonts w:eastAsia="Times New Roman" w:cstheme="minorHAnsi"/>
                <w:sz w:val="20"/>
                <w:szCs w:val="20"/>
              </w:rPr>
              <w:t>–</w:t>
            </w:r>
            <w:r w:rsidR="0089188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>19 ietekme uz datu aizsardzību.</w:t>
            </w:r>
          </w:p>
          <w:p w14:paraId="07B1A170" w14:textId="0F5B6F16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ES mākslīgā intelekta projektējuma regulējums.</w:t>
            </w:r>
          </w:p>
          <w:p w14:paraId="448B048D" w14:textId="41C14548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Nesenās tiesu prakses lietas.</w:t>
            </w:r>
          </w:p>
          <w:p w14:paraId="155D3DB8" w14:textId="31307BA5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Globāl</w:t>
            </w:r>
            <w:r>
              <w:rPr>
                <w:rFonts w:eastAsia="Times New Roman" w:cstheme="minorHAnsi"/>
                <w:sz w:val="20"/>
                <w:szCs w:val="20"/>
              </w:rPr>
              <w:t>ās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 xml:space="preserve"> datu aizsardzības pieejas.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81F" w14:textId="04668BD4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Datu aizsardzības un IT juristi, datu aizsardzības speciālisti, nevalstisko organizāciju </w:t>
            </w:r>
            <w:r w:rsidRPr="006D40C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pārstāvji, tiesneši, datu aizsardzības iestāžu darbinieki, ES </w:t>
            </w:r>
            <w:r w:rsidRPr="00F26421">
              <w:rPr>
                <w:rFonts w:eastAsia="Times New Roman" w:cstheme="minorHAnsi"/>
                <w:sz w:val="20"/>
                <w:szCs w:val="20"/>
              </w:rPr>
              <w:t>valstu ierēdņi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115A" w14:textId="7139FE92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  <w:lang w:eastAsia="ar-SA"/>
              </w:rPr>
              <w:lastRenderedPageBreak/>
              <w:t xml:space="preserve">19,4 akadēmiskās stundas. </w:t>
            </w:r>
            <w:r w:rsidRPr="006D40C5">
              <w:rPr>
                <w:rFonts w:cstheme="minorHAnsi"/>
                <w:sz w:val="20"/>
                <w:szCs w:val="20"/>
              </w:rPr>
              <w:t>Informācija par akadēmisko stundu skaitu norādīta sertifikātā, kas pievienots pielikumā.</w:t>
            </w:r>
          </w:p>
          <w:p w14:paraId="1613E3A8" w14:textId="5E4B773F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812" w14:textId="62E5CC11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Nav piemērojams.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B50" w14:textId="69310F6A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Pielikumā pievienots sertifikāts, kas apliecina dalību konkrētajā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6D4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mācībās</w:t>
            </w:r>
            <w:r w:rsidRPr="006D40C5">
              <w:rPr>
                <w:rFonts w:cstheme="minorHAnsi"/>
                <w:sz w:val="20"/>
                <w:szCs w:val="20"/>
              </w:rPr>
              <w:t>. Apmācību kursa</w:t>
            </w:r>
            <w:r w:rsidRPr="006D40C5">
              <w:rPr>
                <w:rFonts w:eastAsia="Times New Roman" w:cstheme="minorHAnsi"/>
                <w:sz w:val="20"/>
                <w:szCs w:val="20"/>
              </w:rPr>
              <w:t xml:space="preserve"> programma (</w:t>
            </w:r>
            <w:proofErr w:type="spellStart"/>
            <w:r w:rsidRPr="006D40C5">
              <w:rPr>
                <w:rFonts w:eastAsia="Times New Roman" w:cstheme="minorHAnsi"/>
                <w:sz w:val="20"/>
                <w:szCs w:val="20"/>
              </w:rPr>
              <w:t>ekrānšāviņš</w:t>
            </w:r>
            <w:proofErr w:type="spellEnd"/>
            <w:r w:rsidRPr="006D40C5">
              <w:rPr>
                <w:rFonts w:eastAsia="Times New Roman" w:cstheme="minorHAnsi"/>
                <w:sz w:val="20"/>
                <w:szCs w:val="20"/>
              </w:rPr>
              <w:t xml:space="preserve"> no organizatora tīmekļa vietnes) </w:t>
            </w:r>
            <w:r w:rsidRPr="006D40C5">
              <w:rPr>
                <w:rFonts w:cstheme="minorHAnsi"/>
                <w:sz w:val="20"/>
                <w:szCs w:val="20"/>
              </w:rPr>
              <w:t>pievienota pielikumā.</w:t>
            </w:r>
          </w:p>
        </w:tc>
      </w:tr>
      <w:tr w:rsidR="00D038D7" w:rsidRPr="006D40C5" w14:paraId="29CB21E7" w14:textId="77777777" w:rsidTr="006462A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DBC1" w14:textId="331C7452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4213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Apmācību seminārs fizisko personu datu aizsardzības speciālistiem kvalifikācijas uzturēšanai “Personas datu apstrāde administratīvajā procesā“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6E7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462AD">
              <w:rPr>
                <w:rFonts w:eastAsia="Times New Roman" w:cstheme="minorHAnsi"/>
                <w:sz w:val="20"/>
                <w:szCs w:val="20"/>
              </w:rPr>
              <w:t>SIA “Lira D.V”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2803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27.04.2021., tiešsaistē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CBD" w14:textId="77777777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D40C5">
              <w:rPr>
                <w:rFonts w:cstheme="minorHAnsi"/>
                <w:sz w:val="20"/>
                <w:szCs w:val="20"/>
                <w:shd w:val="clear" w:color="auto" w:fill="FFFFFF"/>
              </w:rPr>
              <w:t>Mācības auditorijai ar priekšzināšanām. Ievirze un tēma saistīta ar personas datu aizsardzības jomu: personas datu apstrāde administratīvajā procesā.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121" w14:textId="6D0EF684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D40C5">
              <w:rPr>
                <w:rFonts w:eastAsia="Times New Roman" w:cstheme="minorHAnsi"/>
                <w:sz w:val="20"/>
                <w:szCs w:val="20"/>
              </w:rPr>
              <w:t>Datu aizsardzības speciālisti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37BE" w14:textId="34A9CD69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40C5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6 x 2 = 12 akadēmiskās stundas (ieskaita dubultā, jo </w:t>
            </w:r>
            <w:r w:rsidRPr="006462AD">
              <w:rPr>
                <w:rFonts w:eastAsia="Times New Roman" w:cstheme="minorHAnsi"/>
                <w:sz w:val="20"/>
                <w:szCs w:val="20"/>
                <w:lang w:eastAsia="ar-SA"/>
              </w:rPr>
              <w:t>nokārtots gala pārbaudījums). Informācija par akadēmisko stundu skaitu norādīta apliecinājumā, kas pievienots pielikumā.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7AD" w14:textId="77777777" w:rsidR="00D038D7" w:rsidRPr="006462AD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Sekmīgi nokārtots mācību gala pārbaudījums. Informācija par gala pārbaudījumu norādīta apliecinājumā, kas pievienots pielikumā.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2C5D" w14:textId="4B211AC5" w:rsidR="00D038D7" w:rsidRPr="006D40C5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D40C5">
              <w:rPr>
                <w:rFonts w:cstheme="minorHAnsi"/>
                <w:sz w:val="20"/>
                <w:szCs w:val="20"/>
              </w:rPr>
              <w:t>Pielikumā pievienots apliecinājums, kas apliecina dalību konkrētajā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6D40C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mācībās</w:t>
            </w:r>
            <w:r w:rsidRPr="006D40C5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Apmācību</w:t>
            </w:r>
            <w:r w:rsidRPr="006462AD">
              <w:rPr>
                <w:rFonts w:cstheme="minorHAnsi"/>
                <w:sz w:val="20"/>
                <w:szCs w:val="20"/>
              </w:rPr>
              <w:t xml:space="preserve"> programma (organizētāja e</w:t>
            </w:r>
            <w:r w:rsidR="00BD7202">
              <w:rPr>
                <w:rFonts w:eastAsia="Times New Roman" w:cstheme="minorHAnsi"/>
                <w:sz w:val="20"/>
                <w:szCs w:val="20"/>
              </w:rPr>
              <w:t>-</w:t>
            </w:r>
            <w:r w:rsidRPr="006462AD">
              <w:rPr>
                <w:rFonts w:cstheme="minorHAnsi"/>
                <w:sz w:val="20"/>
                <w:szCs w:val="20"/>
              </w:rPr>
              <w:t xml:space="preserve">pasta vēstule) </w:t>
            </w:r>
            <w:r w:rsidRPr="006D40C5">
              <w:rPr>
                <w:rFonts w:cstheme="minorHAnsi"/>
                <w:sz w:val="20"/>
                <w:szCs w:val="20"/>
              </w:rPr>
              <w:t>pievienota pielikumā.</w:t>
            </w:r>
          </w:p>
          <w:p w14:paraId="17EAE7CB" w14:textId="77777777" w:rsidR="00D038D7" w:rsidRPr="006462AD" w:rsidRDefault="00D038D7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6D91" w:rsidRPr="006D40C5" w14:paraId="09ED39F3" w14:textId="77777777" w:rsidTr="006462A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D0C2" w14:textId="6CD4CAE2" w:rsidR="009A6D91" w:rsidRDefault="009A6D91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51E7" w14:textId="60001234" w:rsidR="009A6D91" w:rsidRPr="006D40C5" w:rsidRDefault="009A6D91" w:rsidP="009A6D91">
            <w:pPr>
              <w:pStyle w:val="Sarakstarindkopa"/>
              <w:spacing w:after="0" w:line="240" w:lineRule="auto"/>
              <w:ind w:left="0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</w:t>
            </w:r>
            <w:r w:rsidRPr="009A6D91">
              <w:rPr>
                <w:rFonts w:eastAsia="Times New Roman" w:cstheme="minorHAnsi"/>
                <w:sz w:val="20"/>
                <w:szCs w:val="20"/>
              </w:rPr>
              <w:t>onference “Personas dati – nākotnes perspektīva!”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0A4C" w14:textId="7637A4FB" w:rsidR="009A6D91" w:rsidRPr="006462AD" w:rsidRDefault="009A6D91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Datu valsts inspekcija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D75C" w14:textId="143A6C29" w:rsidR="009A6D91" w:rsidRPr="006D40C5" w:rsidRDefault="009A6D91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9A6D91">
              <w:rPr>
                <w:rFonts w:eastAsia="Times New Roman" w:cstheme="minorHAnsi"/>
                <w:sz w:val="20"/>
                <w:szCs w:val="20"/>
              </w:rPr>
              <w:t>6.11.2021.</w:t>
            </w:r>
            <w:r>
              <w:rPr>
                <w:rFonts w:eastAsia="Times New Roman" w:cstheme="minorHAnsi"/>
                <w:sz w:val="20"/>
                <w:szCs w:val="20"/>
              </w:rPr>
              <w:t>, tiešsaistē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9E6B" w14:textId="68C60615" w:rsidR="009A6D91" w:rsidRPr="006D40C5" w:rsidRDefault="00E337F1" w:rsidP="00D038D7">
            <w:pPr>
              <w:pStyle w:val="Sarakstarindkopa"/>
              <w:spacing w:after="0" w:line="240" w:lineRule="auto"/>
              <w:ind w:left="0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05D35">
              <w:rPr>
                <w:rFonts w:cstheme="minorHAnsi"/>
                <w:sz w:val="20"/>
                <w:szCs w:val="20"/>
                <w:shd w:val="clear" w:color="auto" w:fill="FFFFFF"/>
              </w:rPr>
              <w:t>Konference auditorijai ar priekšzināšanām. Ievirze un tēma saistīta ar personas datu aizsardzības jomu:</w:t>
            </w:r>
            <w:r w:rsidR="00405D35" w:rsidRPr="00405D3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Konferences laikā dalībnieki tik</w:t>
            </w:r>
            <w:r w:rsidR="00405D35">
              <w:rPr>
                <w:rFonts w:cstheme="minorHAnsi"/>
                <w:sz w:val="20"/>
                <w:szCs w:val="20"/>
                <w:shd w:val="clear" w:color="auto" w:fill="FFFFFF"/>
              </w:rPr>
              <w:t>a</w:t>
            </w:r>
            <w:r w:rsidR="00405D35" w:rsidRPr="00405D3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iepazīstināti ar jaunākajām tendencēm personas datu apstrādes un aizsardzības jomā dažādās nozarēs. Paneļdiskusiju laikā eksperti dalī</w:t>
            </w:r>
            <w:r w:rsidR="00405D35">
              <w:rPr>
                <w:rFonts w:cstheme="minorHAnsi"/>
                <w:sz w:val="20"/>
                <w:szCs w:val="20"/>
                <w:shd w:val="clear" w:color="auto" w:fill="FFFFFF"/>
              </w:rPr>
              <w:t>jās</w:t>
            </w:r>
            <w:r w:rsidR="00405D35" w:rsidRPr="00405D3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pieredzē, apmainī</w:t>
            </w:r>
            <w:r w:rsidR="00405D35">
              <w:rPr>
                <w:rFonts w:cstheme="minorHAnsi"/>
                <w:sz w:val="20"/>
                <w:szCs w:val="20"/>
                <w:shd w:val="clear" w:color="auto" w:fill="FFFFFF"/>
              </w:rPr>
              <w:t>jās</w:t>
            </w:r>
            <w:r w:rsidR="00405D35" w:rsidRPr="00405D3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viedokļiem, pārrunā</w:t>
            </w:r>
            <w:r w:rsidR="00405D35">
              <w:rPr>
                <w:rFonts w:cstheme="minorHAnsi"/>
                <w:sz w:val="20"/>
                <w:szCs w:val="20"/>
                <w:shd w:val="clear" w:color="auto" w:fill="FFFFFF"/>
              </w:rPr>
              <w:t>ja</w:t>
            </w:r>
            <w:r w:rsidR="00405D35" w:rsidRPr="00405D3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iespējas un riskus personas </w:t>
            </w:r>
            <w:r w:rsidR="00405D35" w:rsidRPr="00405D35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datu aizsardzības jomā tagad un nākotnē.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38FB" w14:textId="5298BA7B" w:rsidR="009A6D91" w:rsidRPr="006D40C5" w:rsidRDefault="00E337F1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337F1">
              <w:rPr>
                <w:rFonts w:eastAsia="Times New Roman" w:cstheme="minorHAnsi"/>
                <w:sz w:val="20"/>
                <w:szCs w:val="20"/>
              </w:rPr>
              <w:lastRenderedPageBreak/>
              <w:t>Konferences saturs ir saistošs ikvienam, kurš interesējas par personas datu apstrādi un aizsardzību.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8F4F" w14:textId="117BD28C" w:rsidR="007B3796" w:rsidRPr="006D40C5" w:rsidRDefault="00E337F1" w:rsidP="007B3796">
            <w:pPr>
              <w:pStyle w:val="Sarakstarindkopa"/>
              <w:spacing w:after="0" w:line="240" w:lineRule="auto"/>
              <w:ind w:left="117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405D35">
              <w:rPr>
                <w:rFonts w:eastAsia="Times New Roman" w:cstheme="minorHAnsi"/>
                <w:sz w:val="20"/>
                <w:szCs w:val="20"/>
                <w:lang w:eastAsia="ar-SA"/>
              </w:rPr>
              <w:t>,3 x 2 = 2,6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akadēmiskā</w:t>
            </w:r>
            <w:r w:rsidR="00405D35">
              <w:rPr>
                <w:rFonts w:eastAsia="Times New Roman" w:cstheme="minorHAnsi"/>
                <w:sz w:val="20"/>
                <w:szCs w:val="20"/>
                <w:lang w:eastAsia="ar-SA"/>
              </w:rPr>
              <w:t>s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stunda</w:t>
            </w:r>
            <w:r w:rsidR="00405D35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 </w:t>
            </w:r>
            <w:r w:rsidR="00405D35" w:rsidRPr="006D40C5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(ieskaita dubultā, jo </w:t>
            </w:r>
            <w:r w:rsidR="00405D35">
              <w:rPr>
                <w:rFonts w:eastAsia="Times New Roman" w:cstheme="minorHAnsi"/>
                <w:sz w:val="20"/>
                <w:szCs w:val="20"/>
                <w:lang w:eastAsia="ar-SA"/>
              </w:rPr>
              <w:t>piedalījās kā konferences referents</w:t>
            </w:r>
            <w:r w:rsidR="00405D35" w:rsidRPr="006462AD"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  <w:r w:rsidR="00405D35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</w:p>
          <w:p w14:paraId="473F9AF3" w14:textId="2AC39DB7" w:rsidR="009A6D91" w:rsidRPr="006D40C5" w:rsidRDefault="009A6D91" w:rsidP="00E337F1">
            <w:pPr>
              <w:pStyle w:val="Sarakstarindkopa"/>
              <w:spacing w:after="0" w:line="240" w:lineRule="auto"/>
              <w:ind w:left="117"/>
              <w:contextualSpacing w:val="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021" w14:textId="2CEF56C1" w:rsidR="007B3796" w:rsidRPr="007B3796" w:rsidRDefault="00E337F1" w:rsidP="007B3796">
            <w:pPr>
              <w:pStyle w:val="Sarakstarindkopa"/>
              <w:spacing w:after="0" w:line="240" w:lineRule="auto"/>
              <w:ind w:left="0" w:hanging="3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Piedalījās konferencē kā </w:t>
            </w:r>
            <w:r w:rsidR="007B3796">
              <w:rPr>
                <w:rFonts w:cstheme="minorHAnsi"/>
                <w:sz w:val="20"/>
                <w:szCs w:val="20"/>
              </w:rPr>
              <w:t xml:space="preserve">referents </w:t>
            </w:r>
            <w:r w:rsidR="007B3796" w:rsidRPr="007B3796">
              <w:rPr>
                <w:rFonts w:cstheme="minorHAnsi"/>
                <w:sz w:val="20"/>
                <w:szCs w:val="20"/>
              </w:rPr>
              <w:t>paneļdiskusijā “Uzņēmumi izmanto arvien pieejamākas</w:t>
            </w:r>
          </w:p>
          <w:p w14:paraId="6936FE0A" w14:textId="77777777" w:rsidR="007B3796" w:rsidRPr="007B3796" w:rsidRDefault="007B3796" w:rsidP="007B3796">
            <w:pPr>
              <w:pStyle w:val="Sarakstarindkopa"/>
              <w:spacing w:after="0" w:line="240" w:lineRule="auto"/>
              <w:ind w:left="0" w:hanging="30"/>
              <w:jc w:val="center"/>
              <w:rPr>
                <w:rFonts w:cstheme="minorHAnsi"/>
                <w:sz w:val="20"/>
                <w:szCs w:val="20"/>
              </w:rPr>
            </w:pPr>
            <w:r w:rsidRPr="007B3796">
              <w:rPr>
                <w:rFonts w:cstheme="minorHAnsi"/>
                <w:sz w:val="20"/>
                <w:szCs w:val="20"/>
              </w:rPr>
              <w:t>tehnoloģijas, lai uzraudzītu savu darbiniekus.</w:t>
            </w:r>
          </w:p>
          <w:p w14:paraId="7DBCAD7B" w14:textId="77777777" w:rsidR="007B3796" w:rsidRPr="007B3796" w:rsidRDefault="007B3796" w:rsidP="007B3796">
            <w:pPr>
              <w:pStyle w:val="Sarakstarindkopa"/>
              <w:spacing w:after="0" w:line="240" w:lineRule="auto"/>
              <w:ind w:left="0" w:hanging="30"/>
              <w:jc w:val="center"/>
              <w:rPr>
                <w:rFonts w:cstheme="minorHAnsi"/>
                <w:sz w:val="20"/>
                <w:szCs w:val="20"/>
              </w:rPr>
            </w:pPr>
            <w:r w:rsidRPr="007B3796">
              <w:rPr>
                <w:rFonts w:cstheme="minorHAnsi"/>
                <w:sz w:val="20"/>
                <w:szCs w:val="20"/>
              </w:rPr>
              <w:lastRenderedPageBreak/>
              <w:t>Vai darba vietā ir iespējams aizsargāt savu</w:t>
            </w:r>
          </w:p>
          <w:p w14:paraId="4A583E72" w14:textId="77777777" w:rsidR="007B3796" w:rsidRPr="007B3796" w:rsidRDefault="007B3796" w:rsidP="007B3796">
            <w:pPr>
              <w:pStyle w:val="Sarakstarindkopa"/>
              <w:spacing w:after="0" w:line="240" w:lineRule="auto"/>
              <w:ind w:left="0" w:hanging="30"/>
              <w:jc w:val="center"/>
              <w:rPr>
                <w:rFonts w:cstheme="minorHAnsi"/>
                <w:sz w:val="20"/>
                <w:szCs w:val="20"/>
              </w:rPr>
            </w:pPr>
            <w:r w:rsidRPr="007B3796">
              <w:rPr>
                <w:rFonts w:cstheme="minorHAnsi"/>
                <w:sz w:val="20"/>
                <w:szCs w:val="20"/>
              </w:rPr>
              <w:t>privātumu, ja darbinieks ir neaizsargātāks pret</w:t>
            </w:r>
          </w:p>
          <w:p w14:paraId="6E2824BB" w14:textId="36607182" w:rsidR="009A6D91" w:rsidRPr="006D40C5" w:rsidRDefault="007B3796" w:rsidP="007B3796">
            <w:pPr>
              <w:pStyle w:val="Sarakstarindkopa"/>
              <w:spacing w:after="0" w:line="240" w:lineRule="auto"/>
              <w:ind w:left="0" w:hanging="3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7B3796">
              <w:rPr>
                <w:rFonts w:cstheme="minorHAnsi"/>
                <w:sz w:val="20"/>
                <w:szCs w:val="20"/>
              </w:rPr>
              <w:t>darba devēju?”</w:t>
            </w:r>
            <w:r w:rsidR="00E337F1">
              <w:rPr>
                <w:rFonts w:cstheme="minorHAnsi"/>
                <w:sz w:val="20"/>
                <w:szCs w:val="20"/>
              </w:rPr>
              <w:t xml:space="preserve"> </w:t>
            </w:r>
            <w:r w:rsidR="00E337F1" w:rsidRPr="00E337F1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E337F1" w:rsidRPr="00E337F1">
              <w:rPr>
                <w:rFonts w:cstheme="minorHAnsi"/>
                <w:sz w:val="20"/>
                <w:szCs w:val="20"/>
              </w:rPr>
              <w:t>ekrānšāviņš</w:t>
            </w:r>
            <w:proofErr w:type="spellEnd"/>
            <w:r w:rsidR="00E337F1" w:rsidRPr="00E337F1">
              <w:rPr>
                <w:rFonts w:cstheme="minorHAnsi"/>
                <w:sz w:val="20"/>
                <w:szCs w:val="20"/>
              </w:rPr>
              <w:t xml:space="preserve"> no organizatora tīmekļa vietnes)</w:t>
            </w:r>
            <w:r w:rsidR="00405D35">
              <w:rPr>
                <w:rFonts w:cstheme="minorHAnsi"/>
                <w:sz w:val="20"/>
                <w:szCs w:val="20"/>
              </w:rPr>
              <w:t>, apliecinājums nav izsniegts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C94" w14:textId="2D6EA27A" w:rsidR="009A6D91" w:rsidRPr="006D40C5" w:rsidRDefault="00405D35" w:rsidP="00D038D7">
            <w:pPr>
              <w:pStyle w:val="Sarakstarindkopa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405D35">
              <w:rPr>
                <w:rFonts w:cstheme="minorHAnsi"/>
                <w:sz w:val="20"/>
                <w:szCs w:val="20"/>
              </w:rPr>
              <w:lastRenderedPageBreak/>
              <w:t>Konferences programma (</w:t>
            </w:r>
            <w:proofErr w:type="spellStart"/>
            <w:r w:rsidRPr="00405D35">
              <w:rPr>
                <w:rFonts w:cstheme="minorHAnsi"/>
                <w:sz w:val="20"/>
                <w:szCs w:val="20"/>
              </w:rPr>
              <w:t>ekrānšāviņš</w:t>
            </w:r>
            <w:proofErr w:type="spellEnd"/>
            <w:r w:rsidRPr="00405D35">
              <w:rPr>
                <w:rFonts w:cstheme="minorHAnsi"/>
                <w:sz w:val="20"/>
                <w:szCs w:val="20"/>
              </w:rPr>
              <w:t xml:space="preserve"> no organizatora tīmekļa vietnes) pievienota pielikumā.</w:t>
            </w:r>
            <w:r w:rsidR="007B3796">
              <w:rPr>
                <w:rFonts w:cstheme="minorHAnsi"/>
                <w:sz w:val="20"/>
                <w:szCs w:val="20"/>
              </w:rPr>
              <w:t xml:space="preserve"> E-pasta vēstule ar apstiprinājumu dalībai konferencē pievienota pielikumā. Saite uz paneļdiskusijas ierakstu: </w:t>
            </w:r>
            <w:r w:rsidR="007B3796" w:rsidRPr="007B3796">
              <w:rPr>
                <w:rFonts w:cstheme="minorHAnsi"/>
                <w:sz w:val="20"/>
                <w:szCs w:val="20"/>
              </w:rPr>
              <w:t>https://youtu.be/5_zgaeObaxU?t=12435</w:t>
            </w:r>
          </w:p>
        </w:tc>
      </w:tr>
    </w:tbl>
    <w:p w14:paraId="5286D677" w14:textId="77777777" w:rsidR="007E04BE" w:rsidRPr="006D40C5" w:rsidRDefault="007E04BE" w:rsidP="0077190B">
      <w:pPr>
        <w:spacing w:before="130" w:after="0" w:line="260" w:lineRule="exact"/>
        <w:jc w:val="both"/>
        <w:rPr>
          <w:rFonts w:eastAsia="MS ??" w:cstheme="minorHAnsi"/>
          <w:sz w:val="20"/>
          <w:szCs w:val="20"/>
        </w:rPr>
      </w:pPr>
    </w:p>
    <w:p w14:paraId="2B3E830A" w14:textId="753D7A39" w:rsidR="0077190B" w:rsidRPr="006D40C5" w:rsidRDefault="0077190B" w:rsidP="0077190B">
      <w:pPr>
        <w:spacing w:before="130" w:after="0" w:line="260" w:lineRule="exact"/>
        <w:jc w:val="both"/>
        <w:rPr>
          <w:rFonts w:eastAsia="MS ??" w:cstheme="minorHAnsi"/>
          <w:sz w:val="20"/>
          <w:szCs w:val="20"/>
        </w:rPr>
      </w:pPr>
      <w:r w:rsidRPr="006D40C5">
        <w:rPr>
          <w:rFonts w:eastAsia="MS ??" w:cstheme="minorHAnsi"/>
          <w:sz w:val="20"/>
          <w:szCs w:val="20"/>
        </w:rPr>
        <w:t>Apliecinu, ka sniegtās ziņas par profesionālās kvalifikācijas paaugstināšanas pasākumiem ir patiesas.</w:t>
      </w:r>
    </w:p>
    <w:p w14:paraId="1835CFCE" w14:textId="77777777" w:rsidR="0077190B" w:rsidRPr="006D40C5" w:rsidRDefault="0077190B" w:rsidP="0077190B">
      <w:pPr>
        <w:spacing w:before="130" w:after="0" w:line="260" w:lineRule="exact"/>
        <w:jc w:val="both"/>
        <w:rPr>
          <w:rFonts w:eastAsia="MS ??" w:cstheme="minorHAnsi"/>
          <w:sz w:val="20"/>
          <w:szCs w:val="20"/>
        </w:rPr>
      </w:pPr>
    </w:p>
    <w:tbl>
      <w:tblPr>
        <w:tblStyle w:val="Reatabu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4"/>
        <w:gridCol w:w="713"/>
        <w:gridCol w:w="2613"/>
        <w:gridCol w:w="6938"/>
      </w:tblGrid>
      <w:tr w:rsidR="00EF1E6A" w:rsidRPr="006D40C5" w14:paraId="40F87DD1" w14:textId="77777777" w:rsidTr="00C63AE2">
        <w:tc>
          <w:tcPr>
            <w:tcW w:w="3821" w:type="dxa"/>
            <w:tcBorders>
              <w:bottom w:val="single" w:sz="4" w:space="0" w:color="auto"/>
            </w:tcBorders>
          </w:tcPr>
          <w:p w14:paraId="6371DC03" w14:textId="501B1ABD" w:rsidR="0077190B" w:rsidRPr="006D40C5" w:rsidRDefault="00734E98" w:rsidP="00734E98">
            <w:pPr>
              <w:jc w:val="center"/>
              <w:rPr>
                <w:rFonts w:eastAsia="MS ??" w:cstheme="minorHAnsi"/>
                <w:sz w:val="20"/>
                <w:szCs w:val="20"/>
              </w:rPr>
            </w:pPr>
            <w:r w:rsidRPr="006D40C5">
              <w:rPr>
                <w:rFonts w:eastAsia="MS ??" w:cstheme="minorHAnsi"/>
                <w:sz w:val="20"/>
                <w:szCs w:val="20"/>
              </w:rPr>
              <w:t xml:space="preserve">Jānis </w:t>
            </w:r>
            <w:proofErr w:type="spellStart"/>
            <w:r w:rsidRPr="006D40C5">
              <w:rPr>
                <w:rFonts w:eastAsia="MS ??" w:cstheme="minorHAnsi"/>
                <w:sz w:val="20"/>
                <w:szCs w:val="20"/>
              </w:rPr>
              <w:t>Datiņš</w:t>
            </w:r>
            <w:proofErr w:type="spellEnd"/>
          </w:p>
        </w:tc>
        <w:tc>
          <w:tcPr>
            <w:tcW w:w="743" w:type="dxa"/>
          </w:tcPr>
          <w:p w14:paraId="2212588D" w14:textId="77777777" w:rsidR="0077190B" w:rsidRPr="006D40C5" w:rsidRDefault="0077190B" w:rsidP="00C63AE2">
            <w:pPr>
              <w:jc w:val="both"/>
              <w:rPr>
                <w:rFonts w:eastAsia="MS ??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4DBDD8F" w14:textId="713AB270" w:rsidR="0077190B" w:rsidRPr="006D40C5" w:rsidRDefault="00734E98" w:rsidP="00734E98">
            <w:pPr>
              <w:jc w:val="center"/>
              <w:rPr>
                <w:rFonts w:eastAsia="MS ??" w:cstheme="minorHAnsi"/>
                <w:sz w:val="20"/>
                <w:szCs w:val="20"/>
              </w:rPr>
            </w:pPr>
            <w:r w:rsidRPr="006D40C5">
              <w:rPr>
                <w:rFonts w:eastAsia="MS ??" w:cstheme="minorHAnsi"/>
                <w:sz w:val="20"/>
                <w:szCs w:val="20"/>
              </w:rPr>
              <w:t>2023. gada 9. oktobris</w:t>
            </w:r>
          </w:p>
        </w:tc>
        <w:tc>
          <w:tcPr>
            <w:tcW w:w="7255" w:type="dxa"/>
          </w:tcPr>
          <w:p w14:paraId="71CF8399" w14:textId="77777777" w:rsidR="0077190B" w:rsidRPr="006D40C5" w:rsidRDefault="0077190B" w:rsidP="00C63AE2">
            <w:pPr>
              <w:jc w:val="both"/>
              <w:rPr>
                <w:rFonts w:eastAsia="MS ??" w:cstheme="minorHAnsi"/>
                <w:sz w:val="20"/>
                <w:szCs w:val="20"/>
              </w:rPr>
            </w:pPr>
          </w:p>
        </w:tc>
      </w:tr>
      <w:tr w:rsidR="00EF1E6A" w:rsidRPr="006D40C5" w14:paraId="0EABDF87" w14:textId="77777777" w:rsidTr="00C63AE2">
        <w:tc>
          <w:tcPr>
            <w:tcW w:w="3821" w:type="dxa"/>
            <w:tcBorders>
              <w:top w:val="single" w:sz="4" w:space="0" w:color="auto"/>
            </w:tcBorders>
          </w:tcPr>
          <w:p w14:paraId="17FF90DF" w14:textId="77777777" w:rsidR="0077190B" w:rsidRPr="006D40C5" w:rsidRDefault="0077190B" w:rsidP="00C63AE2">
            <w:pPr>
              <w:jc w:val="center"/>
              <w:rPr>
                <w:rFonts w:eastAsia="MS ??" w:cstheme="minorHAnsi"/>
                <w:sz w:val="20"/>
                <w:szCs w:val="20"/>
              </w:rPr>
            </w:pPr>
            <w:r w:rsidRPr="006D40C5">
              <w:rPr>
                <w:rFonts w:eastAsia="MS ??" w:cstheme="minorHAnsi"/>
                <w:sz w:val="20"/>
                <w:szCs w:val="20"/>
              </w:rPr>
              <w:t>(speciālista paraksts)</w:t>
            </w:r>
          </w:p>
        </w:tc>
        <w:tc>
          <w:tcPr>
            <w:tcW w:w="743" w:type="dxa"/>
          </w:tcPr>
          <w:p w14:paraId="42657B9A" w14:textId="77777777" w:rsidR="0077190B" w:rsidRPr="006D40C5" w:rsidRDefault="0077190B" w:rsidP="00C63AE2">
            <w:pPr>
              <w:jc w:val="center"/>
              <w:rPr>
                <w:rFonts w:eastAsia="MS ??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A438C73" w14:textId="3754753C" w:rsidR="0077190B" w:rsidRPr="006D40C5" w:rsidRDefault="0077190B" w:rsidP="00C63AE2">
            <w:pPr>
              <w:jc w:val="center"/>
              <w:rPr>
                <w:rFonts w:eastAsia="MS ??" w:cstheme="minorHAnsi"/>
                <w:sz w:val="20"/>
                <w:szCs w:val="20"/>
              </w:rPr>
            </w:pPr>
            <w:r w:rsidRPr="006D40C5">
              <w:rPr>
                <w:rFonts w:eastAsia="MS ??" w:cstheme="minorHAnsi"/>
                <w:sz w:val="20"/>
                <w:szCs w:val="20"/>
              </w:rPr>
              <w:t>(datums)</w:t>
            </w:r>
            <w:r w:rsidR="00F26421">
              <w:rPr>
                <w:rStyle w:val="Vresatsauce"/>
                <w:rFonts w:eastAsia="MS ??" w:cstheme="minorHAnsi"/>
                <w:sz w:val="20"/>
                <w:szCs w:val="20"/>
              </w:rPr>
              <w:footnoteReference w:id="6"/>
            </w:r>
          </w:p>
        </w:tc>
        <w:tc>
          <w:tcPr>
            <w:tcW w:w="7255" w:type="dxa"/>
          </w:tcPr>
          <w:p w14:paraId="1C6FF8E3" w14:textId="77777777" w:rsidR="0077190B" w:rsidRPr="006D40C5" w:rsidRDefault="0077190B" w:rsidP="00C63AE2">
            <w:pPr>
              <w:jc w:val="center"/>
              <w:rPr>
                <w:rFonts w:eastAsia="MS ??" w:cstheme="minorHAnsi"/>
                <w:sz w:val="20"/>
                <w:szCs w:val="20"/>
              </w:rPr>
            </w:pPr>
          </w:p>
        </w:tc>
      </w:tr>
    </w:tbl>
    <w:p w14:paraId="2644C75B" w14:textId="77777777" w:rsidR="008A335C" w:rsidRPr="006D40C5" w:rsidRDefault="008A335C">
      <w:pPr>
        <w:rPr>
          <w:rFonts w:cstheme="minorHAnsi"/>
          <w:sz w:val="20"/>
          <w:szCs w:val="20"/>
        </w:rPr>
      </w:pPr>
    </w:p>
    <w:sectPr w:rsidR="008A335C" w:rsidRPr="006D40C5" w:rsidSect="0077190B">
      <w:headerReference w:type="defaul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FD74" w14:textId="77777777" w:rsidR="00FA3BAA" w:rsidRDefault="00FA3BAA" w:rsidP="008A3883">
      <w:pPr>
        <w:spacing w:after="0" w:line="240" w:lineRule="auto"/>
      </w:pPr>
      <w:r>
        <w:separator/>
      </w:r>
    </w:p>
  </w:endnote>
  <w:endnote w:type="continuationSeparator" w:id="0">
    <w:p w14:paraId="1E5E5201" w14:textId="77777777" w:rsidR="00FA3BAA" w:rsidRDefault="00FA3BAA" w:rsidP="008A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95EE" w14:textId="77777777" w:rsidR="00FA3BAA" w:rsidRDefault="00FA3BAA" w:rsidP="008A3883">
      <w:pPr>
        <w:spacing w:after="0" w:line="240" w:lineRule="auto"/>
      </w:pPr>
      <w:r>
        <w:separator/>
      </w:r>
    </w:p>
  </w:footnote>
  <w:footnote w:type="continuationSeparator" w:id="0">
    <w:p w14:paraId="2F036AA6" w14:textId="77777777" w:rsidR="00FA3BAA" w:rsidRDefault="00FA3BAA" w:rsidP="008A3883">
      <w:pPr>
        <w:spacing w:after="0" w:line="240" w:lineRule="auto"/>
      </w:pPr>
      <w:r>
        <w:continuationSeparator/>
      </w:r>
    </w:p>
  </w:footnote>
  <w:footnote w:id="1">
    <w:p w14:paraId="422894CF" w14:textId="665C58AE" w:rsidR="00AF58E0" w:rsidRPr="00132E6F" w:rsidRDefault="00AF58E0" w:rsidP="00132E6F">
      <w:pPr>
        <w:spacing w:before="130" w:after="0" w:line="260" w:lineRule="exact"/>
        <w:jc w:val="both"/>
        <w:outlineLvl w:val="0"/>
        <w:rPr>
          <w:rFonts w:eastAsia="Calibri" w:cstheme="minorHAnsi"/>
          <w:sz w:val="20"/>
          <w:szCs w:val="20"/>
        </w:rPr>
      </w:pPr>
      <w:r w:rsidRPr="00132E6F">
        <w:rPr>
          <w:rStyle w:val="Vresatsauce"/>
          <w:rFonts w:cstheme="minorHAnsi"/>
          <w:sz w:val="20"/>
          <w:szCs w:val="20"/>
        </w:rPr>
        <w:footnoteRef/>
      </w:r>
      <w:r w:rsidRPr="00132E6F">
        <w:rPr>
          <w:rFonts w:cstheme="minorHAnsi"/>
          <w:sz w:val="20"/>
          <w:szCs w:val="20"/>
        </w:rPr>
        <w:t xml:space="preserve"> Piemērs: </w:t>
      </w:r>
      <w:r w:rsidRPr="00132E6F">
        <w:rPr>
          <w:rFonts w:eastAsia="Times New Roman" w:cstheme="minorHAnsi"/>
          <w:sz w:val="20"/>
          <w:szCs w:val="20"/>
          <w:lang w:eastAsia="ar-SA"/>
        </w:rPr>
        <w:t xml:space="preserve">Jānis </w:t>
      </w:r>
      <w:proofErr w:type="spellStart"/>
      <w:r w:rsidRPr="00132E6F">
        <w:rPr>
          <w:rFonts w:eastAsia="Times New Roman" w:cstheme="minorHAnsi"/>
          <w:sz w:val="20"/>
          <w:szCs w:val="20"/>
          <w:lang w:eastAsia="ar-SA"/>
        </w:rPr>
        <w:t>Datiņš</w:t>
      </w:r>
      <w:proofErr w:type="spellEnd"/>
      <w:r w:rsidRPr="00132E6F">
        <w:rPr>
          <w:rFonts w:eastAsia="Times New Roman" w:cstheme="minorHAnsi"/>
          <w:sz w:val="20"/>
          <w:szCs w:val="20"/>
          <w:lang w:eastAsia="ar-SA"/>
        </w:rPr>
        <w:t xml:space="preserve"> datu aizsardzības speciālistu sarakstā ir iekļauts 2019. gada 2. janvārī, tātad pirms Ministru kabineta 2020. gada 6. oktobra noteikumu Nr. 620 “Datu aizsardzības speciālista kvalifikācijas noteikumi”</w:t>
      </w:r>
      <w:r w:rsidRPr="00132E6F">
        <w:rPr>
          <w:rFonts w:eastAsia="Calibri" w:cstheme="minorHAnsi"/>
          <w:sz w:val="20"/>
          <w:szCs w:val="20"/>
        </w:rPr>
        <w:t xml:space="preserve"> (turpmāk – Noteikum</w:t>
      </w:r>
      <w:r w:rsidR="00E72C36">
        <w:rPr>
          <w:rFonts w:eastAsia="Calibri" w:cstheme="minorHAnsi"/>
          <w:sz w:val="20"/>
          <w:szCs w:val="20"/>
        </w:rPr>
        <w:t>i</w:t>
      </w:r>
      <w:r w:rsidRPr="00132E6F">
        <w:rPr>
          <w:rFonts w:eastAsia="Calibri" w:cstheme="minorHAnsi"/>
          <w:sz w:val="20"/>
          <w:szCs w:val="20"/>
        </w:rPr>
        <w:t xml:space="preserve"> Nr. 620) </w:t>
      </w:r>
      <w:r w:rsidRPr="00132E6F">
        <w:rPr>
          <w:rFonts w:eastAsia="Times New Roman" w:cstheme="minorHAnsi"/>
          <w:sz w:val="20"/>
          <w:szCs w:val="20"/>
          <w:lang w:eastAsia="ar-SA"/>
        </w:rPr>
        <w:t xml:space="preserve">spēkā stāšanās dienas. Ņemot vērā minēto, secināms, ka Noteikumu Nr. 620 40. punktā noteiktais </w:t>
      </w:r>
      <w:bookmarkStart w:id="0" w:name="_Hlk93050807"/>
      <w:r w:rsidRPr="00132E6F">
        <w:rPr>
          <w:rFonts w:eastAsia="Times New Roman" w:cstheme="minorHAnsi"/>
          <w:sz w:val="20"/>
          <w:szCs w:val="20"/>
          <w:lang w:eastAsia="ar-SA"/>
        </w:rPr>
        <w:t xml:space="preserve">profesionālās kvalifikācijas uzturēšanas </w:t>
      </w:r>
      <w:bookmarkEnd w:id="0"/>
      <w:r w:rsidRPr="00132E6F">
        <w:rPr>
          <w:rFonts w:eastAsia="Times New Roman" w:cstheme="minorHAnsi"/>
          <w:sz w:val="20"/>
          <w:szCs w:val="20"/>
          <w:lang w:eastAsia="ar-SA"/>
        </w:rPr>
        <w:t>periods viņam skaitāms no Noteikumu Nr. 620 spēkā stāšanās dienas, t.i., no 2020. gada 9. oktobra. Attiecīgi, lai uzturētu spēkā kvalifikāciju</w:t>
      </w:r>
      <w:r w:rsidRPr="00132E6F">
        <w:rPr>
          <w:rFonts w:eastAsia="Times New Roman" w:cstheme="minorHAnsi"/>
          <w:b/>
          <w:bCs/>
          <w:sz w:val="20"/>
          <w:szCs w:val="20"/>
          <w:lang w:eastAsia="ar-SA"/>
        </w:rPr>
        <w:t>,</w:t>
      </w:r>
      <w:r w:rsidRPr="00132E6F">
        <w:rPr>
          <w:rFonts w:eastAsia="Times New Roman" w:cstheme="minorHAnsi"/>
          <w:sz w:val="20"/>
          <w:szCs w:val="20"/>
          <w:lang w:eastAsia="ar-SA"/>
        </w:rPr>
        <w:t xml:space="preserve"> atsevišķām </w:t>
      </w:r>
      <w:r w:rsidRPr="00132E6F">
        <w:rPr>
          <w:rFonts w:cstheme="minorHAnsi"/>
          <w:bCs/>
          <w:sz w:val="20"/>
          <w:szCs w:val="20"/>
        </w:rPr>
        <w:t xml:space="preserve">datu aizsardzības speciālistu </w:t>
      </w:r>
      <w:r w:rsidRPr="00132E6F">
        <w:rPr>
          <w:rFonts w:eastAsia="Times New Roman" w:cstheme="minorHAnsi"/>
          <w:sz w:val="20"/>
          <w:szCs w:val="20"/>
          <w:lang w:eastAsia="ar-SA"/>
        </w:rPr>
        <w:t xml:space="preserve">sarakstā iekļautajām personām, tostarp Jānim </w:t>
      </w:r>
      <w:proofErr w:type="spellStart"/>
      <w:r w:rsidRPr="00132E6F">
        <w:rPr>
          <w:rFonts w:eastAsia="Times New Roman" w:cstheme="minorHAnsi"/>
          <w:sz w:val="20"/>
          <w:szCs w:val="20"/>
          <w:lang w:eastAsia="ar-SA"/>
        </w:rPr>
        <w:t>Datiņam</w:t>
      </w:r>
      <w:proofErr w:type="spellEnd"/>
      <w:r w:rsidRPr="00132E6F">
        <w:rPr>
          <w:rFonts w:eastAsia="Times New Roman" w:cstheme="minorHAnsi"/>
          <w:sz w:val="20"/>
          <w:szCs w:val="20"/>
          <w:lang w:eastAsia="ar-SA"/>
        </w:rPr>
        <w:t xml:space="preserve">, ir tiesības vākt kvalifikācijas uzturēšanas stundas visu trīs gadu garumā, proti, līdz 2023. gada 9. oktobrim, kuru laikā </w:t>
      </w:r>
      <w:r w:rsidRPr="00132E6F">
        <w:rPr>
          <w:rFonts w:cstheme="minorHAnsi"/>
          <w:bCs/>
          <w:sz w:val="20"/>
          <w:szCs w:val="20"/>
        </w:rPr>
        <w:t xml:space="preserve">atbilstoši </w:t>
      </w:r>
      <w:r w:rsidRPr="00132E6F">
        <w:rPr>
          <w:rFonts w:eastAsia="Times New Roman" w:cstheme="minorHAnsi"/>
          <w:sz w:val="20"/>
          <w:szCs w:val="20"/>
          <w:lang w:eastAsia="ar-SA"/>
        </w:rPr>
        <w:t xml:space="preserve">Noteikumu Nr. 620 46., 54. un 55. punktam ir spēkā arī tam piešķirtā </w:t>
      </w:r>
      <w:r w:rsidRPr="00132E6F">
        <w:rPr>
          <w:rFonts w:cstheme="minorHAnsi"/>
          <w:bCs/>
          <w:sz w:val="20"/>
          <w:szCs w:val="20"/>
        </w:rPr>
        <w:t xml:space="preserve">datu aizsardzības speciālista kvalifikācija. Savukārt, ja mācības apmeklētas </w:t>
      </w:r>
      <w:r w:rsidRPr="00132E6F">
        <w:rPr>
          <w:rFonts w:eastAsia="Times New Roman" w:cstheme="minorHAnsi"/>
          <w:sz w:val="20"/>
          <w:szCs w:val="20"/>
          <w:lang w:eastAsia="ar-SA"/>
        </w:rPr>
        <w:t>2018. gada ietvaros, proti, līdz Noteikumu Nr. 620 spēkā stāšanās brīdim, tad tās netiks ieskaitītas.</w:t>
      </w:r>
    </w:p>
  </w:footnote>
  <w:footnote w:id="2">
    <w:p w14:paraId="0AB365C0" w14:textId="62E230F6" w:rsidR="00BF2204" w:rsidRPr="00132E6F" w:rsidRDefault="00BF2204" w:rsidP="00132E6F">
      <w:pPr>
        <w:pStyle w:val="Vresteksts"/>
        <w:jc w:val="both"/>
        <w:rPr>
          <w:rFonts w:cstheme="minorHAnsi"/>
          <w:shd w:val="clear" w:color="auto" w:fill="FFFFFF"/>
        </w:rPr>
      </w:pPr>
      <w:r w:rsidRPr="00132E6F">
        <w:rPr>
          <w:rStyle w:val="Vresatsauce"/>
          <w:rFonts w:cstheme="minorHAnsi"/>
        </w:rPr>
        <w:footnoteRef/>
      </w:r>
      <w:r w:rsidRPr="00132E6F">
        <w:rPr>
          <w:rFonts w:cstheme="minorHAnsi"/>
        </w:rPr>
        <w:t xml:space="preserve"> </w:t>
      </w:r>
      <w:r w:rsidR="00132E6F" w:rsidRPr="00132E6F">
        <w:rPr>
          <w:rFonts w:cstheme="minorHAnsi"/>
        </w:rPr>
        <w:t>J</w:t>
      </w:r>
      <w:r w:rsidRPr="00132E6F">
        <w:rPr>
          <w:rFonts w:cstheme="minorHAnsi"/>
        </w:rPr>
        <w:t xml:space="preserve">ānorāda, vai </w:t>
      </w:r>
      <w:r w:rsidRPr="00132E6F">
        <w:rPr>
          <w:rFonts w:cstheme="minorHAnsi"/>
          <w:shd w:val="clear" w:color="auto" w:fill="FFFFFF"/>
        </w:rPr>
        <w:t xml:space="preserve">mācības </w:t>
      </w:r>
      <w:r w:rsidR="00132E6F" w:rsidRPr="00132E6F">
        <w:rPr>
          <w:rFonts w:cstheme="minorHAnsi"/>
          <w:shd w:val="clear" w:color="auto" w:fill="FFFFFF"/>
        </w:rPr>
        <w:t xml:space="preserve">paredzētas </w:t>
      </w:r>
      <w:r w:rsidRPr="00132E6F">
        <w:rPr>
          <w:rFonts w:cstheme="minorHAnsi"/>
          <w:shd w:val="clear" w:color="auto" w:fill="FFFFFF"/>
        </w:rPr>
        <w:t>auditorijai ar</w:t>
      </w:r>
      <w:r w:rsidR="00132E6F" w:rsidRPr="00132E6F">
        <w:rPr>
          <w:rFonts w:cstheme="minorHAnsi"/>
          <w:shd w:val="clear" w:color="auto" w:fill="FFFFFF"/>
        </w:rPr>
        <w:t>/bez</w:t>
      </w:r>
      <w:r w:rsidRPr="00132E6F">
        <w:rPr>
          <w:rFonts w:cstheme="minorHAnsi"/>
          <w:shd w:val="clear" w:color="auto" w:fill="FFFFFF"/>
        </w:rPr>
        <w:t xml:space="preserve"> priekšzināšanām</w:t>
      </w:r>
      <w:r w:rsidR="00132E6F" w:rsidRPr="00132E6F">
        <w:rPr>
          <w:rFonts w:cstheme="minorHAnsi"/>
          <w:shd w:val="clear" w:color="auto" w:fill="FFFFFF"/>
        </w:rPr>
        <w:t xml:space="preserve">. Kā arī </w:t>
      </w:r>
      <w:r w:rsidR="00132E6F">
        <w:rPr>
          <w:rFonts w:cstheme="minorHAnsi"/>
          <w:shd w:val="clear" w:color="auto" w:fill="FFFFFF"/>
        </w:rPr>
        <w:t xml:space="preserve">detalizēti </w:t>
      </w:r>
      <w:r w:rsidR="00132E6F" w:rsidRPr="00132E6F">
        <w:rPr>
          <w:rFonts w:cstheme="minorHAnsi"/>
          <w:shd w:val="clear" w:color="auto" w:fill="FFFFFF"/>
        </w:rPr>
        <w:t xml:space="preserve">jāpaskaidro, vai </w:t>
      </w:r>
      <w:r w:rsidRPr="00132E6F">
        <w:rPr>
          <w:rFonts w:cstheme="minorHAnsi"/>
          <w:shd w:val="clear" w:color="auto" w:fill="FFFFFF"/>
        </w:rPr>
        <w:t>apmeklēto mācību tēma saistīta ar personas datu aizsardzību vai citu jomu, kas saistīta ar datu aizsardzības speciālista pienākumu izpildi</w:t>
      </w:r>
      <w:r w:rsidR="000029B1">
        <w:rPr>
          <w:rFonts w:cstheme="minorHAnsi"/>
          <w:shd w:val="clear" w:color="auto" w:fill="FFFFFF"/>
        </w:rPr>
        <w:t>.</w:t>
      </w:r>
    </w:p>
  </w:footnote>
  <w:footnote w:id="3">
    <w:p w14:paraId="5B9A5B5B" w14:textId="745F1E65" w:rsidR="00132E6F" w:rsidRPr="00132E6F" w:rsidRDefault="00EE6FAC" w:rsidP="00132E6F">
      <w:pPr>
        <w:pStyle w:val="Vresteksts"/>
        <w:jc w:val="both"/>
        <w:rPr>
          <w:rFonts w:cstheme="minorHAnsi"/>
        </w:rPr>
      </w:pPr>
      <w:r w:rsidRPr="00132E6F">
        <w:rPr>
          <w:rStyle w:val="Vresatsauce"/>
          <w:rFonts w:cstheme="minorHAnsi"/>
        </w:rPr>
        <w:footnoteRef/>
      </w:r>
      <w:r w:rsidRPr="00132E6F">
        <w:rPr>
          <w:rFonts w:cstheme="minorHAnsi"/>
        </w:rPr>
        <w:t xml:space="preserve"> Mācībām nosaka vienu akadēmisko stundu par katru astronomisko stundu (60 minūtes).</w:t>
      </w:r>
      <w:r w:rsidR="00AF58E0" w:rsidRPr="00132E6F">
        <w:rPr>
          <w:rFonts w:cstheme="minorHAnsi"/>
        </w:rPr>
        <w:t xml:space="preserve"> Akadēmiskās stundas dubultā apmērā nosaka par mācībām, kurām nokārtots gala pārbaudījums, ja tāds bija paredzēts mācību noslēgumā, kā arī</w:t>
      </w:r>
      <w:r w:rsidR="009E115B">
        <w:rPr>
          <w:rFonts w:cstheme="minorHAnsi"/>
        </w:rPr>
        <w:t>,</w:t>
      </w:r>
      <w:r w:rsidR="00AF58E0" w:rsidRPr="00132E6F">
        <w:rPr>
          <w:rFonts w:cstheme="minorHAnsi"/>
        </w:rPr>
        <w:t xml:space="preserve"> ja datu aizsardzības speciālists piedalās mācībās kā pasniedzējs (lektors, referents konferencē).</w:t>
      </w:r>
      <w:r w:rsidR="00132E6F">
        <w:rPr>
          <w:rFonts w:cstheme="minorHAnsi"/>
        </w:rPr>
        <w:t xml:space="preserve"> Papildus jāpamato norādītais mācību norises ilgums, ja vien tas nav norādīts izsniegtajā sertifikātā/apliecinājumā vai Datu valsts inspekcijas </w:t>
      </w:r>
      <w:r w:rsidR="00132E6F" w:rsidRPr="007E04BE">
        <w:rPr>
          <w:rFonts w:cstheme="minorHAnsi"/>
        </w:rPr>
        <w:t xml:space="preserve">tīmekļa vietnes sadaļā </w:t>
      </w:r>
      <w:r w:rsidR="00132E6F" w:rsidRPr="007E04BE">
        <w:rPr>
          <w:rFonts w:eastAsia="Times New Roman" w:cstheme="minorHAnsi"/>
        </w:rPr>
        <w:t>”</w:t>
      </w:r>
      <w:r w:rsidR="00132E6F" w:rsidRPr="007E04BE">
        <w:rPr>
          <w:rFonts w:cstheme="minorHAnsi"/>
        </w:rPr>
        <w:t>Apmācību iespējas</w:t>
      </w:r>
      <w:r w:rsidR="00132E6F" w:rsidRPr="007E04BE">
        <w:rPr>
          <w:rFonts w:eastAsia="Times New Roman" w:cstheme="minorHAnsi"/>
        </w:rPr>
        <w:t>”</w:t>
      </w:r>
      <w:r w:rsidR="00132E6F">
        <w:rPr>
          <w:rFonts w:eastAsia="Times New Roman" w:cstheme="minorHAnsi"/>
        </w:rPr>
        <w:t>.</w:t>
      </w:r>
      <w:r w:rsidR="008A335C">
        <w:rPr>
          <w:rFonts w:eastAsia="Times New Roman" w:cstheme="minorHAnsi"/>
        </w:rPr>
        <w:t xml:space="preserve"> Gadījumos, kad mācību norises ilgums nav norādīts programmā, sertifikātā vai Datu valsts inspekcijas </w:t>
      </w:r>
      <w:r w:rsidR="008A335C" w:rsidRPr="007E04BE">
        <w:rPr>
          <w:rFonts w:cstheme="minorHAnsi"/>
        </w:rPr>
        <w:t xml:space="preserve">tīmekļa vietnes sadaļā </w:t>
      </w:r>
      <w:r w:rsidR="008A335C" w:rsidRPr="007E04BE">
        <w:rPr>
          <w:rFonts w:eastAsia="Times New Roman" w:cstheme="minorHAnsi"/>
        </w:rPr>
        <w:t>”</w:t>
      </w:r>
      <w:r w:rsidR="008A335C" w:rsidRPr="007E04BE">
        <w:rPr>
          <w:rFonts w:cstheme="minorHAnsi"/>
        </w:rPr>
        <w:t>Apmācību iespējas</w:t>
      </w:r>
      <w:r w:rsidR="008A335C" w:rsidRPr="007E04BE">
        <w:rPr>
          <w:rFonts w:eastAsia="Times New Roman" w:cstheme="minorHAnsi"/>
        </w:rPr>
        <w:t>”</w:t>
      </w:r>
      <w:r w:rsidR="008A335C">
        <w:rPr>
          <w:rFonts w:eastAsia="Times New Roman" w:cstheme="minorHAnsi"/>
        </w:rPr>
        <w:t>, jāņem vērā, ka pārtraukumi mācību laikā nav ieskaitāmi.</w:t>
      </w:r>
    </w:p>
  </w:footnote>
  <w:footnote w:id="4">
    <w:p w14:paraId="6952BB54" w14:textId="241ECA69" w:rsidR="007A5A95" w:rsidRPr="00132E6F" w:rsidRDefault="007A5A95" w:rsidP="00132E6F">
      <w:pPr>
        <w:pStyle w:val="Vresteksts"/>
        <w:jc w:val="both"/>
        <w:rPr>
          <w:rFonts w:cstheme="minorHAnsi"/>
        </w:rPr>
      </w:pPr>
      <w:r w:rsidRPr="00132E6F">
        <w:rPr>
          <w:rStyle w:val="Vresatsauce"/>
          <w:rFonts w:cstheme="minorHAnsi"/>
        </w:rPr>
        <w:footnoteRef/>
      </w:r>
      <w:r w:rsidRPr="00132E6F">
        <w:rPr>
          <w:rFonts w:cstheme="minorHAnsi"/>
        </w:rPr>
        <w:t xml:space="preserve"> Aizpilda tikai tādā gadījumā, ja ir sekmīgi nokārtots mācību gala pārbaudījums vai </w:t>
      </w:r>
      <w:r w:rsidR="00720CE6" w:rsidRPr="00132E6F">
        <w:rPr>
          <w:rFonts w:cstheme="minorHAnsi"/>
        </w:rPr>
        <w:t>speciālists</w:t>
      </w:r>
      <w:r w:rsidRPr="00132E6F">
        <w:rPr>
          <w:rFonts w:cstheme="minorHAnsi"/>
        </w:rPr>
        <w:t xml:space="preserve"> piedalījies mācībās kā pasniedzējs</w:t>
      </w:r>
      <w:r w:rsidR="00132E6F">
        <w:rPr>
          <w:rFonts w:cstheme="minorHAnsi"/>
        </w:rPr>
        <w:t xml:space="preserve"> (jāiesniedz attiecīgi pierādījumi)</w:t>
      </w:r>
      <w:r w:rsidRPr="00132E6F">
        <w:rPr>
          <w:rFonts w:cstheme="minorHAnsi"/>
        </w:rPr>
        <w:t>.</w:t>
      </w:r>
    </w:p>
  </w:footnote>
  <w:footnote w:id="5">
    <w:p w14:paraId="2C0C0591" w14:textId="046B19E8" w:rsidR="00132E6F" w:rsidRDefault="00132E6F">
      <w:pPr>
        <w:pStyle w:val="Vresteksts"/>
      </w:pPr>
      <w:r>
        <w:rPr>
          <w:rStyle w:val="Vresatsauce"/>
        </w:rPr>
        <w:footnoteRef/>
      </w:r>
      <w:r>
        <w:t xml:space="preserve"> Ja visa </w:t>
      </w:r>
      <w:r w:rsidR="006D40C5">
        <w:t>šajā sadaļā pieprasītā</w:t>
      </w:r>
      <w:r>
        <w:t xml:space="preserve"> informācija nav norādīta </w:t>
      </w:r>
      <w:r>
        <w:rPr>
          <w:rFonts w:cstheme="minorHAnsi"/>
        </w:rPr>
        <w:t xml:space="preserve">izsniegtajā sertifikātā/apliecinājumā par dalību mācībās, tad obligāti jāiesniedz vai jānorāda uz papildu informācijas avotiem, kas apliecina iesniegumā norādītos faktus. </w:t>
      </w:r>
    </w:p>
  </w:footnote>
  <w:footnote w:id="6">
    <w:p w14:paraId="3E224395" w14:textId="3B3B96DE" w:rsidR="00F26421" w:rsidRDefault="00F26421">
      <w:pPr>
        <w:pStyle w:val="Vresteksts"/>
      </w:pPr>
      <w:r>
        <w:rPr>
          <w:rStyle w:val="Vresatsauce"/>
        </w:rPr>
        <w:footnoteRef/>
      </w:r>
      <w:r>
        <w:t xml:space="preserve"> Neaizpilda, ja iesniegums parakstīts ar drošu elektronisko parakstu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2373" w14:textId="2119FC28" w:rsidR="008A3883" w:rsidRPr="006D40C5" w:rsidRDefault="008A3883" w:rsidP="008A3883">
    <w:pPr>
      <w:pStyle w:val="Galvene"/>
      <w:jc w:val="right"/>
      <w:rPr>
        <w:rFonts w:cstheme="minorHAnsi"/>
        <w:sz w:val="20"/>
        <w:szCs w:val="20"/>
      </w:rPr>
    </w:pPr>
    <w:r w:rsidRPr="006D40C5">
      <w:rPr>
        <w:rFonts w:cstheme="minorHAnsi"/>
        <w:sz w:val="20"/>
        <w:szCs w:val="20"/>
      </w:rPr>
      <w:t>PARAUGS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547EA"/>
    <w:multiLevelType w:val="hybridMultilevel"/>
    <w:tmpl w:val="FD8EF5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9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0B"/>
    <w:rsid w:val="000029B1"/>
    <w:rsid w:val="000754BB"/>
    <w:rsid w:val="00132E6F"/>
    <w:rsid w:val="00140222"/>
    <w:rsid w:val="001A41F7"/>
    <w:rsid w:val="002076AB"/>
    <w:rsid w:val="00230D73"/>
    <w:rsid w:val="0023291C"/>
    <w:rsid w:val="003E06FE"/>
    <w:rsid w:val="00405D35"/>
    <w:rsid w:val="004B5ECE"/>
    <w:rsid w:val="004D3095"/>
    <w:rsid w:val="004E7D20"/>
    <w:rsid w:val="005C49B4"/>
    <w:rsid w:val="005C7072"/>
    <w:rsid w:val="006462AD"/>
    <w:rsid w:val="006A2278"/>
    <w:rsid w:val="006D40C5"/>
    <w:rsid w:val="006D6527"/>
    <w:rsid w:val="00720CE6"/>
    <w:rsid w:val="00734E98"/>
    <w:rsid w:val="007535B2"/>
    <w:rsid w:val="0077190B"/>
    <w:rsid w:val="00793799"/>
    <w:rsid w:val="007A5A95"/>
    <w:rsid w:val="007B3796"/>
    <w:rsid w:val="007E04BE"/>
    <w:rsid w:val="00891881"/>
    <w:rsid w:val="008A335C"/>
    <w:rsid w:val="008A3883"/>
    <w:rsid w:val="008D528A"/>
    <w:rsid w:val="00981354"/>
    <w:rsid w:val="009A6D91"/>
    <w:rsid w:val="009E115B"/>
    <w:rsid w:val="00A02905"/>
    <w:rsid w:val="00A57D3A"/>
    <w:rsid w:val="00A67660"/>
    <w:rsid w:val="00A8744C"/>
    <w:rsid w:val="00A9095B"/>
    <w:rsid w:val="00A937BC"/>
    <w:rsid w:val="00AD463A"/>
    <w:rsid w:val="00AF58E0"/>
    <w:rsid w:val="00BD7202"/>
    <w:rsid w:val="00BF2204"/>
    <w:rsid w:val="00C64CAE"/>
    <w:rsid w:val="00C76CD3"/>
    <w:rsid w:val="00CD2379"/>
    <w:rsid w:val="00D038D7"/>
    <w:rsid w:val="00D25E91"/>
    <w:rsid w:val="00D500E3"/>
    <w:rsid w:val="00D60BED"/>
    <w:rsid w:val="00D70BC2"/>
    <w:rsid w:val="00D744B6"/>
    <w:rsid w:val="00D8662C"/>
    <w:rsid w:val="00DB6ADF"/>
    <w:rsid w:val="00DC5803"/>
    <w:rsid w:val="00DF0CEF"/>
    <w:rsid w:val="00E23B19"/>
    <w:rsid w:val="00E337F1"/>
    <w:rsid w:val="00E72C36"/>
    <w:rsid w:val="00EA2810"/>
    <w:rsid w:val="00EE6FAC"/>
    <w:rsid w:val="00EF1E6A"/>
    <w:rsid w:val="00F26421"/>
    <w:rsid w:val="00F27D66"/>
    <w:rsid w:val="00F36170"/>
    <w:rsid w:val="00FA3BAA"/>
    <w:rsid w:val="00FA7D9C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E613"/>
  <w15:chartTrackingRefBased/>
  <w15:docId w15:val="{05595D47-C669-4529-8B50-A5545827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190B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77190B"/>
    <w:pPr>
      <w:ind w:left="720"/>
      <w:contextualSpacing/>
    </w:pPr>
  </w:style>
  <w:style w:type="table" w:styleId="Reatabula">
    <w:name w:val="Table Grid"/>
    <w:basedOn w:val="Parastatabula"/>
    <w:uiPriority w:val="59"/>
    <w:rsid w:val="007719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A3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3883"/>
  </w:style>
  <w:style w:type="paragraph" w:styleId="Kjene">
    <w:name w:val="footer"/>
    <w:basedOn w:val="Parasts"/>
    <w:link w:val="KjeneRakstz"/>
    <w:uiPriority w:val="99"/>
    <w:unhideWhenUsed/>
    <w:rsid w:val="008A3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3883"/>
  </w:style>
  <w:style w:type="paragraph" w:styleId="Vresteksts">
    <w:name w:val="footnote text"/>
    <w:basedOn w:val="Parasts"/>
    <w:link w:val="VrestekstsRakstz"/>
    <w:uiPriority w:val="99"/>
    <w:semiHidden/>
    <w:unhideWhenUsed/>
    <w:rsid w:val="00EE6FA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E6FA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E6FAC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FA7D9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A7D9C"/>
    <w:rPr>
      <w:color w:val="605E5C"/>
      <w:shd w:val="clear" w:color="auto" w:fill="E1DFDD"/>
    </w:rPr>
  </w:style>
  <w:style w:type="paragraph" w:styleId="Vienkrsteksts">
    <w:name w:val="Plain Text"/>
    <w:basedOn w:val="Parasts"/>
    <w:link w:val="VienkrstekstsRakstz"/>
    <w:uiPriority w:val="99"/>
    <w:unhideWhenUsed/>
    <w:rsid w:val="00F36170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F36170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.lv/lv/2022/09/atverta-pieteiksanas-it-drosibas-konferencei-kibersahs-20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vi.gov.lv/lv/jaunums/PDNP-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vi.gov.lv/lv/pdnp_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vi.gov.lv/lv/apmacibu-iespej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rasmes.lv/event/kiberdrosibas-konference-cyberchess-20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162D-D966-484E-96E1-E367196D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5919</Words>
  <Characters>3374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Gailuma</dc:creator>
  <cp:keywords/>
  <dc:description/>
  <cp:lastModifiedBy>Ginta Gailuma</cp:lastModifiedBy>
  <cp:revision>2</cp:revision>
  <dcterms:created xsi:type="dcterms:W3CDTF">2023-08-15T12:01:00Z</dcterms:created>
  <dcterms:modified xsi:type="dcterms:W3CDTF">2023-08-15T12:01:00Z</dcterms:modified>
</cp:coreProperties>
</file>